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C11C" w14:textId="54AC3E69" w:rsidR="00890A47" w:rsidRPr="00727BED" w:rsidRDefault="00890A47" w:rsidP="00890A47">
      <w:pPr>
        <w:rPr>
          <w:rFonts w:cstheme="minorHAnsi"/>
          <w:b/>
        </w:rPr>
      </w:pPr>
      <w:r w:rsidRPr="00727BED">
        <w:rPr>
          <w:rFonts w:cstheme="minorHAnsi"/>
          <w:b/>
        </w:rPr>
        <w:t xml:space="preserve">RAM Scientific Committee Coordinator Report </w:t>
      </w:r>
      <w:r w:rsidR="00B80AEA" w:rsidRPr="00727BED">
        <w:rPr>
          <w:rFonts w:cstheme="minorHAnsi"/>
          <w:b/>
        </w:rPr>
        <w:t>M</w:t>
      </w:r>
      <w:r w:rsidR="00AB0D85" w:rsidRPr="00727BED">
        <w:rPr>
          <w:rFonts w:cstheme="minorHAnsi"/>
          <w:b/>
        </w:rPr>
        <w:t>a</w:t>
      </w:r>
      <w:r w:rsidR="00B80AEA" w:rsidRPr="00727BED">
        <w:rPr>
          <w:rFonts w:cstheme="minorHAnsi"/>
          <w:b/>
        </w:rPr>
        <w:t>y</w:t>
      </w:r>
      <w:r w:rsidRPr="00727BED">
        <w:rPr>
          <w:rFonts w:cstheme="minorHAnsi"/>
          <w:b/>
        </w:rPr>
        <w:t xml:space="preserve"> 202</w:t>
      </w:r>
      <w:r w:rsidR="0008297D" w:rsidRPr="00727BED">
        <w:rPr>
          <w:rFonts w:cstheme="minorHAnsi"/>
          <w:b/>
        </w:rPr>
        <w:t>1</w:t>
      </w:r>
    </w:p>
    <w:p w14:paraId="3AEF175C" w14:textId="77777777" w:rsidR="00665AC8" w:rsidRPr="00727BED" w:rsidRDefault="00665AC8" w:rsidP="004B739E">
      <w:pPr>
        <w:spacing w:after="0" w:line="240" w:lineRule="auto"/>
        <w:rPr>
          <w:rFonts w:cstheme="minorHAnsi"/>
          <w:bCs/>
        </w:rPr>
      </w:pPr>
    </w:p>
    <w:p w14:paraId="3025105C" w14:textId="0E30E19C" w:rsidR="00890A47" w:rsidRPr="00727BED" w:rsidRDefault="00890A47" w:rsidP="00890A47">
      <w:pPr>
        <w:spacing w:after="0"/>
        <w:rPr>
          <w:rFonts w:cstheme="minorHAnsi"/>
          <w:b/>
        </w:rPr>
      </w:pPr>
      <w:r w:rsidRPr="00727BED">
        <w:rPr>
          <w:rFonts w:cstheme="minorHAnsi"/>
          <w:b/>
        </w:rPr>
        <w:t>Scientific Developments (not exhaustive):</w:t>
      </w:r>
    </w:p>
    <w:p w14:paraId="27AE3766" w14:textId="77777777" w:rsidR="0090233F" w:rsidRPr="00727BED" w:rsidRDefault="0090233F" w:rsidP="00AE54BA">
      <w:pPr>
        <w:pStyle w:val="ListParagraph"/>
        <w:spacing w:after="0" w:line="240" w:lineRule="auto"/>
        <w:ind w:left="0"/>
        <w:rPr>
          <w:rFonts w:cstheme="minorHAnsi"/>
          <w:b/>
          <w:bCs/>
        </w:rPr>
      </w:pPr>
    </w:p>
    <w:p w14:paraId="12D91392" w14:textId="595062A1" w:rsidR="00D24E6A" w:rsidRPr="00727BED" w:rsidRDefault="00961931" w:rsidP="009F49B9">
      <w:pPr>
        <w:spacing w:before="240"/>
        <w:rPr>
          <w:rFonts w:eastAsia="Times New Roman" w:cstheme="minorHAnsi"/>
          <w:color w:val="000000"/>
        </w:rPr>
      </w:pPr>
      <w:r w:rsidRPr="00727BED">
        <w:rPr>
          <w:rFonts w:eastAsia="Times New Roman" w:cstheme="minorHAnsi"/>
          <w:b/>
          <w:bCs/>
          <w:spacing w:val="3"/>
        </w:rPr>
        <w:t>Vaccines</w:t>
      </w:r>
      <w:r w:rsidRPr="00727BED">
        <w:rPr>
          <w:rFonts w:eastAsia="Times New Roman" w:cstheme="minorHAnsi"/>
          <w:spacing w:val="3"/>
        </w:rPr>
        <w:t xml:space="preserve">: </w:t>
      </w:r>
      <w:r w:rsidR="00111714" w:rsidRPr="00727BED">
        <w:rPr>
          <w:rFonts w:eastAsia="Times New Roman" w:cstheme="minorHAnsi"/>
          <w:spacing w:val="3"/>
        </w:rPr>
        <w:t xml:space="preserve">A malaria vaccine called R21 has </w:t>
      </w:r>
      <w:hyperlink r:id="rId5" w:history="1">
        <w:r w:rsidR="00111714" w:rsidRPr="00727BED">
          <w:rPr>
            <w:rStyle w:val="Hyperlink"/>
            <w:rFonts w:cstheme="minorHAnsi"/>
            <w:color w:val="1F3864" w:themeColor="accent1" w:themeShade="80"/>
            <w:spacing w:val="3"/>
          </w:rPr>
          <w:t>proved to be 77% effective at preventing the disease in children</w:t>
        </w:r>
      </w:hyperlink>
      <w:r w:rsidR="00111714" w:rsidRPr="00727BED">
        <w:rPr>
          <w:rFonts w:eastAsia="Times New Roman" w:cstheme="minorHAnsi"/>
          <w:spacing w:val="3"/>
        </w:rPr>
        <w:t xml:space="preserve"> in a small, early trial</w:t>
      </w:r>
      <w:r w:rsidR="00B84288" w:rsidRPr="00727BED">
        <w:rPr>
          <w:rFonts w:eastAsia="Times New Roman" w:cstheme="minorHAnsi"/>
          <w:spacing w:val="3"/>
        </w:rPr>
        <w:t xml:space="preserve"> in Burkina Faso</w:t>
      </w:r>
      <w:r w:rsidR="00111714" w:rsidRPr="00727BED">
        <w:rPr>
          <w:rFonts w:eastAsia="Times New Roman" w:cstheme="minorHAnsi"/>
          <w:spacing w:val="3"/>
        </w:rPr>
        <w:t>. R21 has been in the works for several years, and it informed the development of the Oxford–AstraZeneca COVID-19 vaccine, which came out of the same group at the University of Oxford.</w:t>
      </w:r>
      <w:r w:rsidR="008E1878" w:rsidRPr="00727BED">
        <w:rPr>
          <w:rFonts w:eastAsia="Times New Roman" w:cstheme="minorHAnsi"/>
          <w:spacing w:val="3"/>
        </w:rPr>
        <w:t xml:space="preserve">  </w:t>
      </w:r>
      <w:r w:rsidR="008E1878" w:rsidRPr="00727BED">
        <w:rPr>
          <w:rFonts w:eastAsia="Times New Roman" w:cstheme="minorHAnsi"/>
          <w:color w:val="000000"/>
        </w:rPr>
        <w:t xml:space="preserve">The vaccine is believed to be the first candidate to reach a WHO goal of at least 75% efficacy. </w:t>
      </w:r>
      <w:r w:rsidR="00D24E6A" w:rsidRPr="00727BED">
        <w:rPr>
          <w:rFonts w:eastAsia="Times New Roman" w:cstheme="minorHAnsi"/>
          <w:color w:val="000000"/>
        </w:rPr>
        <w:t>Larger trials involving 4,800</w:t>
      </w:r>
      <w:r w:rsidR="00551C47" w:rsidRPr="00727BED">
        <w:rPr>
          <w:rFonts w:eastAsia="Times New Roman" w:cstheme="minorHAnsi"/>
          <w:color w:val="000000"/>
        </w:rPr>
        <w:t xml:space="preserve"> children in 4 countries in Africa are being launched </w:t>
      </w:r>
      <w:r w:rsidR="0095287C" w:rsidRPr="00727BED">
        <w:rPr>
          <w:rFonts w:eastAsia="Times New Roman" w:cstheme="minorHAnsi"/>
          <w:color w:val="000000"/>
        </w:rPr>
        <w:t>and consideration is being given to early release of the vaccine for emergency use</w:t>
      </w:r>
      <w:r w:rsidR="00454DE2" w:rsidRPr="00727BED">
        <w:rPr>
          <w:rFonts w:eastAsia="Times New Roman" w:cstheme="minorHAnsi"/>
          <w:color w:val="000000"/>
        </w:rPr>
        <w:t>.</w:t>
      </w:r>
    </w:p>
    <w:p w14:paraId="0B77280D" w14:textId="77777777" w:rsidR="007C653B" w:rsidRPr="00727BED" w:rsidRDefault="007C653B" w:rsidP="007C653B">
      <w:pPr>
        <w:spacing w:before="240"/>
        <w:rPr>
          <w:rFonts w:eastAsia="Times New Roman" w:cstheme="minorHAnsi"/>
          <w:color w:val="000000"/>
        </w:rPr>
      </w:pPr>
      <w:r w:rsidRPr="00727BED">
        <w:rPr>
          <w:rFonts w:eastAsia="Times New Roman" w:cstheme="minorHAnsi"/>
          <w:color w:val="000000"/>
        </w:rPr>
        <w:t xml:space="preserve">Link: </w:t>
      </w:r>
      <w:hyperlink r:id="rId6" w:history="1">
        <w:r w:rsidRPr="00727BED">
          <w:rPr>
            <w:rStyle w:val="Hyperlink"/>
            <w:rFonts w:eastAsia="Times New Roman" w:cstheme="minorHAnsi"/>
            <w:color w:val="005DB8"/>
          </w:rPr>
          <w:t xml:space="preserve"> The Guardian reports</w:t>
        </w:r>
      </w:hyperlink>
    </w:p>
    <w:p w14:paraId="1947EECD" w14:textId="464EC34C" w:rsidR="00030A8F" w:rsidRPr="00727BED" w:rsidRDefault="00454DE2" w:rsidP="00030A8F">
      <w:pPr>
        <w:spacing w:before="240"/>
        <w:ind w:left="851"/>
        <w:rPr>
          <w:rFonts w:eastAsia="Times New Roman" w:cstheme="minorHAnsi"/>
          <w:color w:val="000000"/>
        </w:rPr>
      </w:pPr>
      <w:r w:rsidRPr="00727BED">
        <w:rPr>
          <w:rFonts w:eastAsia="Times New Roman" w:cstheme="minorHAnsi"/>
          <w:b/>
          <w:bCs/>
          <w:color w:val="000000"/>
        </w:rPr>
        <w:t>Relevance to RAM</w:t>
      </w:r>
      <w:r w:rsidRPr="00727BED">
        <w:rPr>
          <w:rFonts w:eastAsia="Times New Roman" w:cstheme="minorHAnsi"/>
          <w:color w:val="000000"/>
        </w:rPr>
        <w:t>:  The COVID-19 crisis stimulated</w:t>
      </w:r>
      <w:r w:rsidR="005E535E" w:rsidRPr="00727BED">
        <w:rPr>
          <w:rFonts w:eastAsia="Times New Roman" w:cstheme="minorHAnsi"/>
          <w:color w:val="000000"/>
        </w:rPr>
        <w:t xml:space="preserve"> an extraordinary increase in research into</w:t>
      </w:r>
      <w:r w:rsidR="00490468" w:rsidRPr="00727BED">
        <w:rPr>
          <w:rFonts w:eastAsia="Times New Roman" w:cstheme="minorHAnsi"/>
          <w:color w:val="000000"/>
        </w:rPr>
        <w:t xml:space="preserve"> novel approaches to vaccine development</w:t>
      </w:r>
      <w:r w:rsidR="00F45A5F" w:rsidRPr="00727BED">
        <w:rPr>
          <w:rFonts w:eastAsia="Times New Roman" w:cstheme="minorHAnsi"/>
          <w:color w:val="000000"/>
        </w:rPr>
        <w:t xml:space="preserve">, raising the prospect that we </w:t>
      </w:r>
      <w:r w:rsidR="00FC51F9" w:rsidRPr="00727BED">
        <w:rPr>
          <w:rFonts w:eastAsia="Times New Roman" w:cstheme="minorHAnsi"/>
          <w:color w:val="000000"/>
        </w:rPr>
        <w:t>will finally get effective malaria vaccines that could not be developed by traditional methods</w:t>
      </w:r>
      <w:r w:rsidR="00961931" w:rsidRPr="00727BED">
        <w:rPr>
          <w:rFonts w:eastAsia="Times New Roman" w:cstheme="minorHAnsi"/>
          <w:color w:val="000000"/>
        </w:rPr>
        <w:t xml:space="preserve">. </w:t>
      </w:r>
    </w:p>
    <w:p w14:paraId="56A70DC7" w14:textId="28F0B61D" w:rsidR="00BA351A" w:rsidRPr="00727BED" w:rsidRDefault="00AA5C48" w:rsidP="00AA5C48">
      <w:pPr>
        <w:spacing w:before="240"/>
        <w:rPr>
          <w:rFonts w:cstheme="minorHAnsi"/>
        </w:rPr>
      </w:pPr>
      <w:r w:rsidRPr="00727BED">
        <w:rPr>
          <w:rFonts w:eastAsia="Times New Roman" w:cstheme="minorHAnsi"/>
          <w:color w:val="000000"/>
        </w:rPr>
        <w:t xml:space="preserve">For a useful article on the possible application of the new RNA vaccines </w:t>
      </w:r>
      <w:r w:rsidR="002D07AE" w:rsidRPr="00727BED">
        <w:rPr>
          <w:rFonts w:eastAsia="Times New Roman" w:cstheme="minorHAnsi"/>
          <w:color w:val="000000"/>
        </w:rPr>
        <w:t xml:space="preserve">to malaria vaccination follow this link:  </w:t>
      </w:r>
      <w:hyperlink r:id="rId7" w:history="1">
        <w:r w:rsidR="002D07AE" w:rsidRPr="00727BED">
          <w:rPr>
            <w:rStyle w:val="Hyperlink"/>
            <w:rFonts w:cstheme="minorHAnsi"/>
          </w:rPr>
          <w:t xml:space="preserve">The malaria vaccine </w:t>
        </w:r>
        <w:proofErr w:type="gramStart"/>
        <w:r w:rsidR="002D07AE" w:rsidRPr="00727BED">
          <w:rPr>
            <w:rStyle w:val="Hyperlink"/>
            <w:rFonts w:cstheme="minorHAnsi"/>
          </w:rPr>
          <w:t>isn’t</w:t>
        </w:r>
        <w:proofErr w:type="gramEnd"/>
        <w:r w:rsidR="002D07AE" w:rsidRPr="00727BED">
          <w:rPr>
            <w:rStyle w:val="Hyperlink"/>
            <w:rFonts w:cstheme="minorHAnsi"/>
          </w:rPr>
          <w:t xml:space="preserve"> super effective. RNA technology might change that. - Vox</w:t>
        </w:r>
      </w:hyperlink>
    </w:p>
    <w:p w14:paraId="35873B2C" w14:textId="77777777" w:rsidR="002D07AE" w:rsidRPr="00727BED" w:rsidRDefault="002D07AE" w:rsidP="00AA5C48">
      <w:pPr>
        <w:spacing w:before="240"/>
        <w:rPr>
          <w:rFonts w:eastAsia="Times New Roman" w:cstheme="minorHAnsi"/>
          <w:color w:val="000000"/>
        </w:rPr>
      </w:pPr>
    </w:p>
    <w:p w14:paraId="384E5348" w14:textId="3CD46243" w:rsidR="001362D0" w:rsidRPr="00727BED" w:rsidRDefault="00961931" w:rsidP="001362D0">
      <w:pPr>
        <w:spacing w:line="360" w:lineRule="auto"/>
        <w:rPr>
          <w:rFonts w:eastAsia="Times New Roman" w:cstheme="minorHAnsi"/>
          <w:color w:val="000000"/>
        </w:rPr>
      </w:pPr>
      <w:r w:rsidRPr="00727BED">
        <w:rPr>
          <w:rFonts w:cstheme="minorHAnsi"/>
          <w:b/>
          <w:bCs/>
          <w:shd w:val="clear" w:color="auto" w:fill="FFFFFF"/>
        </w:rPr>
        <w:t>Drug Resistance</w:t>
      </w:r>
      <w:r w:rsidRPr="00727BED">
        <w:rPr>
          <w:rFonts w:cstheme="minorHAnsi"/>
          <w:color w:val="000000"/>
          <w:shd w:val="clear" w:color="auto" w:fill="FFFFFF"/>
        </w:rPr>
        <w:t>:</w:t>
      </w:r>
      <w:r w:rsidR="00BB1CC4" w:rsidRPr="00727BED">
        <w:rPr>
          <w:rFonts w:cstheme="minorHAnsi"/>
          <w:color w:val="000000"/>
          <w:shd w:val="clear" w:color="auto" w:fill="FFFFFF"/>
        </w:rPr>
        <w:t xml:space="preserve">  </w:t>
      </w:r>
      <w:r w:rsidR="001362D0" w:rsidRPr="00727BED">
        <w:rPr>
          <w:rFonts w:eastAsia="Times New Roman" w:cstheme="minorHAnsi"/>
          <w:color w:val="000000"/>
        </w:rPr>
        <w:t>New research</w:t>
      </w:r>
      <w:r w:rsidR="00026C08" w:rsidRPr="00727BED">
        <w:rPr>
          <w:rFonts w:eastAsia="Times New Roman" w:cstheme="minorHAnsi"/>
          <w:color w:val="000000"/>
        </w:rPr>
        <w:t xml:space="preserve"> shows</w:t>
      </w:r>
      <w:r w:rsidR="001362D0" w:rsidRPr="00727BED">
        <w:rPr>
          <w:rFonts w:eastAsia="Times New Roman" w:cstheme="minorHAnsi"/>
          <w:color w:val="000000"/>
        </w:rPr>
        <w:t xml:space="preserve"> troubling signs that drug-resistant mutations in a malaria parasite may be gaining traction in Rwanda</w:t>
      </w:r>
      <w:r w:rsidR="00767D17" w:rsidRPr="00727BED">
        <w:rPr>
          <w:rFonts w:eastAsia="Times New Roman" w:cstheme="minorHAnsi"/>
          <w:color w:val="000000"/>
        </w:rPr>
        <w:t xml:space="preserve">.  </w:t>
      </w:r>
      <w:r w:rsidR="001362D0" w:rsidRPr="00727BED">
        <w:rPr>
          <w:rFonts w:eastAsia="Times New Roman" w:cstheme="minorHAnsi"/>
          <w:color w:val="000000"/>
        </w:rPr>
        <w:t xml:space="preserve">The </w:t>
      </w:r>
      <w:r w:rsidR="001362D0" w:rsidRPr="00727BED">
        <w:rPr>
          <w:rFonts w:eastAsia="Times New Roman" w:cstheme="minorHAnsi"/>
        </w:rPr>
        <w:t>study</w:t>
      </w:r>
      <w:r w:rsidR="001362D0" w:rsidRPr="00727BED">
        <w:rPr>
          <w:rFonts w:eastAsia="Times New Roman" w:cstheme="minorHAnsi"/>
          <w:color w:val="000000"/>
        </w:rPr>
        <w:t xml:space="preserve">, examining treatment outcomes for 224 children under-5 with </w:t>
      </w:r>
      <w:r w:rsidR="001362D0" w:rsidRPr="00727BED">
        <w:rPr>
          <w:rStyle w:val="Emphasis"/>
          <w:rFonts w:eastAsia="Times New Roman" w:cstheme="minorHAnsi"/>
          <w:color w:val="000000"/>
        </w:rPr>
        <w:t>P. falciparum</w:t>
      </w:r>
      <w:r w:rsidR="001362D0" w:rsidRPr="00727BED">
        <w:rPr>
          <w:rFonts w:eastAsia="Times New Roman" w:cstheme="minorHAnsi"/>
          <w:color w:val="000000"/>
        </w:rPr>
        <w:t xml:space="preserve"> infections, documents for the first time that the mutations are associated with delayed parasite clearance. </w:t>
      </w:r>
    </w:p>
    <w:p w14:paraId="2FDDC8AC" w14:textId="77777777" w:rsidR="001362D0" w:rsidRPr="00727BED" w:rsidRDefault="001362D0" w:rsidP="001362D0">
      <w:pPr>
        <w:numPr>
          <w:ilvl w:val="0"/>
          <w:numId w:val="4"/>
        </w:numPr>
        <w:spacing w:before="100" w:beforeAutospacing="1" w:after="100" w:afterAutospacing="1" w:line="360" w:lineRule="auto"/>
        <w:rPr>
          <w:rFonts w:eastAsia="Times New Roman" w:cstheme="minorHAnsi"/>
          <w:color w:val="000000"/>
        </w:rPr>
      </w:pPr>
      <w:r w:rsidRPr="00727BED">
        <w:rPr>
          <w:rFonts w:eastAsia="Times New Roman" w:cstheme="minorHAnsi"/>
          <w:color w:val="000000"/>
        </w:rPr>
        <w:t>3 days post-artemisinin treatment, ~15% of participants in 2 different parts of the country still had detectable parasites.</w:t>
      </w:r>
    </w:p>
    <w:p w14:paraId="6A684E51" w14:textId="77777777" w:rsidR="001362D0" w:rsidRPr="00727BED" w:rsidRDefault="001362D0" w:rsidP="001362D0">
      <w:pPr>
        <w:numPr>
          <w:ilvl w:val="0"/>
          <w:numId w:val="4"/>
        </w:numPr>
        <w:spacing w:before="100" w:beforeAutospacing="1" w:after="100" w:afterAutospacing="1" w:line="360" w:lineRule="auto"/>
        <w:rPr>
          <w:rFonts w:eastAsia="Times New Roman" w:cstheme="minorHAnsi"/>
          <w:color w:val="000000"/>
        </w:rPr>
      </w:pPr>
      <w:r w:rsidRPr="00727BED">
        <w:rPr>
          <w:rFonts w:eastAsia="Times New Roman" w:cstheme="minorHAnsi"/>
          <w:color w:val="000000"/>
        </w:rPr>
        <w:t>The mutations are more prevalent than previous studies report—indicating likely transmission of the mutations and spurring concern about greater spread geographically.</w:t>
      </w:r>
    </w:p>
    <w:p w14:paraId="602A6922" w14:textId="3E915F7B" w:rsidR="00AD1506" w:rsidRPr="00727BED" w:rsidRDefault="001362D0" w:rsidP="001362D0">
      <w:pPr>
        <w:spacing w:before="240"/>
        <w:rPr>
          <w:rFonts w:cstheme="minorHAnsi"/>
          <w:color w:val="000000"/>
          <w:shd w:val="clear" w:color="auto" w:fill="FFFFFF"/>
        </w:rPr>
      </w:pPr>
      <w:r w:rsidRPr="00727BED">
        <w:rPr>
          <w:rFonts w:eastAsia="Times New Roman" w:cstheme="minorHAnsi"/>
          <w:color w:val="000000"/>
        </w:rPr>
        <w:t> Drug efficacy remains high so far, the authors emphasized—at 94–97%—but they stressed that along with increased monitoring, additional antimalarials should be considered for Rwanda.</w:t>
      </w:r>
    </w:p>
    <w:p w14:paraId="06A805A1" w14:textId="564FC504" w:rsidR="00BB1CC4" w:rsidRPr="00727BED" w:rsidRDefault="007C653B" w:rsidP="009F49B9">
      <w:pPr>
        <w:spacing w:before="240"/>
        <w:rPr>
          <w:rFonts w:cstheme="minorHAnsi"/>
          <w:color w:val="000000"/>
          <w:shd w:val="clear" w:color="auto" w:fill="FFFFFF"/>
        </w:rPr>
      </w:pPr>
      <w:r w:rsidRPr="00727BED">
        <w:rPr>
          <w:rFonts w:cstheme="minorHAnsi"/>
        </w:rPr>
        <w:t xml:space="preserve">Link:  </w:t>
      </w:r>
      <w:hyperlink r:id="rId8" w:history="1">
        <w:r w:rsidR="00350A9E" w:rsidRPr="00727BED">
          <w:rPr>
            <w:rStyle w:val="Hyperlink"/>
            <w:rFonts w:cstheme="minorHAnsi"/>
          </w:rPr>
          <w:t xml:space="preserve">The Lancet Infectious Diseases: First clinical evidence of drug-resistant malaria mutations gaining | </w:t>
        </w:r>
        <w:proofErr w:type="spellStart"/>
        <w:r w:rsidR="00350A9E" w:rsidRPr="00727BED">
          <w:rPr>
            <w:rStyle w:val="Hyperlink"/>
            <w:rFonts w:cstheme="minorHAnsi"/>
          </w:rPr>
          <w:t>EurekAlert</w:t>
        </w:r>
        <w:proofErr w:type="spellEnd"/>
        <w:r w:rsidR="00350A9E" w:rsidRPr="00727BED">
          <w:rPr>
            <w:rStyle w:val="Hyperlink"/>
            <w:rFonts w:cstheme="minorHAnsi"/>
          </w:rPr>
          <w:t>! Science News</w:t>
        </w:r>
      </w:hyperlink>
    </w:p>
    <w:p w14:paraId="6D5C621A" w14:textId="4CB7B950" w:rsidR="00BB1CC4" w:rsidRPr="00727BED" w:rsidRDefault="009D092A" w:rsidP="00920C60">
      <w:pPr>
        <w:spacing w:before="240"/>
        <w:ind w:left="709" w:firstLine="11"/>
        <w:rPr>
          <w:rFonts w:eastAsia="Times New Roman" w:cstheme="minorHAnsi"/>
          <w:color w:val="000000"/>
        </w:rPr>
      </w:pPr>
      <w:r w:rsidRPr="00727BED">
        <w:rPr>
          <w:rFonts w:eastAsia="Times New Roman" w:cstheme="minorHAnsi"/>
          <w:b/>
          <w:bCs/>
          <w:color w:val="000000"/>
        </w:rPr>
        <w:t>Relevance to RAM</w:t>
      </w:r>
      <w:r w:rsidRPr="00727BED">
        <w:rPr>
          <w:rFonts w:eastAsia="Times New Roman" w:cstheme="minorHAnsi"/>
          <w:color w:val="000000"/>
        </w:rPr>
        <w:t xml:space="preserve">: </w:t>
      </w:r>
      <w:r w:rsidR="001A64E4" w:rsidRPr="00727BED">
        <w:rPr>
          <w:rFonts w:eastAsia="Times New Roman" w:cstheme="minorHAnsi"/>
          <w:color w:val="000000"/>
        </w:rPr>
        <w:t>No direct relevance except that malaria elimination will be difficult</w:t>
      </w:r>
      <w:r w:rsidR="00B34373" w:rsidRPr="00727BED">
        <w:rPr>
          <w:rFonts w:eastAsia="Times New Roman" w:cstheme="minorHAnsi"/>
          <w:color w:val="000000"/>
        </w:rPr>
        <w:t xml:space="preserve"> unless we use all available, and emerging, tools at our disposal.  Undue reliance on </w:t>
      </w:r>
      <w:r w:rsidR="00053725" w:rsidRPr="00727BED">
        <w:rPr>
          <w:rFonts w:eastAsia="Times New Roman" w:cstheme="minorHAnsi"/>
          <w:color w:val="000000"/>
        </w:rPr>
        <w:t xml:space="preserve">antimalarial drugs will always carry a risk of development of drug resistance so we </w:t>
      </w:r>
      <w:r w:rsidR="00727BED" w:rsidRPr="00727BED">
        <w:rPr>
          <w:rFonts w:eastAsia="Times New Roman" w:cstheme="minorHAnsi"/>
          <w:color w:val="000000"/>
        </w:rPr>
        <w:t>cannot</w:t>
      </w:r>
      <w:r w:rsidR="00053725" w:rsidRPr="00727BED">
        <w:rPr>
          <w:rFonts w:eastAsia="Times New Roman" w:cstheme="minorHAnsi"/>
          <w:color w:val="000000"/>
        </w:rPr>
        <w:t xml:space="preserve"> rely on drug use alone.</w:t>
      </w:r>
    </w:p>
    <w:p w14:paraId="555A16E3" w14:textId="7C2CE0F2" w:rsidR="00053725" w:rsidRPr="00727BED" w:rsidRDefault="00053725" w:rsidP="009D092A">
      <w:pPr>
        <w:spacing w:before="240"/>
        <w:ind w:firstLine="720"/>
        <w:rPr>
          <w:rFonts w:eastAsia="Times New Roman" w:cstheme="minorHAnsi"/>
          <w:color w:val="000000"/>
        </w:rPr>
      </w:pPr>
    </w:p>
    <w:p w14:paraId="60BEA5FD" w14:textId="3DB78283" w:rsidR="00053725" w:rsidRPr="00727BED" w:rsidRDefault="004B5874" w:rsidP="00920C60">
      <w:pPr>
        <w:spacing w:before="240"/>
        <w:rPr>
          <w:rFonts w:cstheme="minorHAnsi"/>
          <w:color w:val="000000"/>
          <w:shd w:val="clear" w:color="auto" w:fill="FFFFFF"/>
        </w:rPr>
      </w:pPr>
      <w:r w:rsidRPr="00727BED">
        <w:rPr>
          <w:rFonts w:cstheme="minorHAnsi"/>
          <w:b/>
          <w:bCs/>
          <w:color w:val="000000"/>
          <w:shd w:val="clear" w:color="auto" w:fill="FFFFFF"/>
        </w:rPr>
        <w:t>Funding</w:t>
      </w:r>
      <w:r w:rsidRPr="00727BED">
        <w:rPr>
          <w:rFonts w:cstheme="minorHAnsi"/>
          <w:color w:val="000000"/>
          <w:shd w:val="clear" w:color="auto" w:fill="FFFFFF"/>
        </w:rPr>
        <w:t xml:space="preserve">: </w:t>
      </w:r>
      <w:r w:rsidR="00920C60" w:rsidRPr="00727BED">
        <w:rPr>
          <w:rFonts w:cstheme="minorHAnsi"/>
          <w:color w:val="000000"/>
          <w:shd w:val="clear" w:color="auto" w:fill="FFFFFF"/>
        </w:rPr>
        <w:t>T</w:t>
      </w:r>
      <w:r w:rsidRPr="00727BED">
        <w:rPr>
          <w:rFonts w:cstheme="minorHAnsi"/>
          <w:color w:val="373737"/>
          <w:shd w:val="clear" w:color="auto" w:fill="FFFFFF"/>
        </w:rPr>
        <w:t xml:space="preserve">he Global Health Innovative Technology (GHIT) Fund announced </w:t>
      </w:r>
      <w:r w:rsidR="00920C60" w:rsidRPr="00727BED">
        <w:rPr>
          <w:rFonts w:cstheme="minorHAnsi"/>
          <w:color w:val="373737"/>
          <w:shd w:val="clear" w:color="auto" w:fill="FFFFFF"/>
        </w:rPr>
        <w:t>on March 30</w:t>
      </w:r>
      <w:r w:rsidRPr="00727BED">
        <w:rPr>
          <w:rFonts w:cstheme="minorHAnsi"/>
          <w:color w:val="373737"/>
          <w:shd w:val="clear" w:color="auto" w:fill="FFFFFF"/>
        </w:rPr>
        <w:t xml:space="preserve"> a total of approximately </w:t>
      </w:r>
      <w:r w:rsidRPr="00727BED">
        <w:rPr>
          <w:rStyle w:val="xn-money"/>
          <w:rFonts w:cstheme="minorHAnsi"/>
          <w:color w:val="373737"/>
          <w:shd w:val="clear" w:color="auto" w:fill="FFFFFF"/>
        </w:rPr>
        <w:t>2.3 billion yen</w:t>
      </w:r>
      <w:r w:rsidRPr="00727BED">
        <w:rPr>
          <w:rFonts w:cstheme="minorHAnsi"/>
          <w:color w:val="373737"/>
          <w:shd w:val="clear" w:color="auto" w:fill="FFFFFF"/>
        </w:rPr>
        <w:t> (</w:t>
      </w:r>
      <w:r w:rsidRPr="00727BED">
        <w:rPr>
          <w:rStyle w:val="xn-money"/>
          <w:rFonts w:cstheme="minorHAnsi"/>
          <w:color w:val="373737"/>
          <w:shd w:val="clear" w:color="auto" w:fill="FFFFFF"/>
        </w:rPr>
        <w:t>US$21 million</w:t>
      </w:r>
      <w:r w:rsidRPr="00727BED">
        <w:rPr>
          <w:rFonts w:cstheme="minorHAnsi"/>
          <w:color w:val="373737"/>
          <w:shd w:val="clear" w:color="auto" w:fill="FFFFFF"/>
        </w:rPr>
        <w:t xml:space="preserve">*) </w:t>
      </w:r>
      <w:r w:rsidR="00D66CF1" w:rsidRPr="00727BED">
        <w:rPr>
          <w:rFonts w:cstheme="minorHAnsi"/>
          <w:color w:val="373737"/>
          <w:shd w:val="clear" w:color="auto" w:fill="FFFFFF"/>
        </w:rPr>
        <w:t>would be</w:t>
      </w:r>
      <w:r w:rsidRPr="00727BED">
        <w:rPr>
          <w:rFonts w:cstheme="minorHAnsi"/>
          <w:color w:val="373737"/>
          <w:shd w:val="clear" w:color="auto" w:fill="FFFFFF"/>
        </w:rPr>
        <w:t xml:space="preserve"> invest</w:t>
      </w:r>
      <w:r w:rsidR="00D66CF1" w:rsidRPr="00727BED">
        <w:rPr>
          <w:rFonts w:cstheme="minorHAnsi"/>
          <w:color w:val="373737"/>
          <w:shd w:val="clear" w:color="auto" w:fill="FFFFFF"/>
        </w:rPr>
        <w:t>ed</w:t>
      </w:r>
      <w:r w:rsidRPr="00727BED">
        <w:rPr>
          <w:rFonts w:cstheme="minorHAnsi"/>
          <w:color w:val="373737"/>
          <w:shd w:val="clear" w:color="auto" w:fill="FFFFFF"/>
        </w:rPr>
        <w:t xml:space="preserve"> in four partnerships to develop new lifesaving drugs for malaria, tuberculosis, Chagas disease and visceral leishmaniasis, a vaccine for malaria and diagnostics for tuberculosis. This includes four new projects and six projects that will receive continued funding</w:t>
      </w:r>
      <w:r w:rsidR="00CB6297" w:rsidRPr="00727BED">
        <w:rPr>
          <w:rFonts w:cstheme="minorHAnsi"/>
          <w:color w:val="373737"/>
          <w:shd w:val="clear" w:color="auto" w:fill="FFFFFF"/>
        </w:rPr>
        <w:t xml:space="preserve"> including </w:t>
      </w:r>
      <w:r w:rsidR="00C1720D" w:rsidRPr="00727BED">
        <w:rPr>
          <w:rFonts w:cstheme="minorHAnsi"/>
          <w:color w:val="373737"/>
          <w:shd w:val="clear" w:color="auto" w:fill="FFFFFF"/>
        </w:rPr>
        <w:t>"AnAPN1</w:t>
      </w:r>
      <w:r w:rsidR="005E6016" w:rsidRPr="00727BED">
        <w:rPr>
          <w:rFonts w:cstheme="minorHAnsi"/>
          <w:color w:val="373737"/>
          <w:shd w:val="clear" w:color="auto" w:fill="FFFFFF"/>
        </w:rPr>
        <w:t>”</w:t>
      </w:r>
      <w:r w:rsidR="00C1720D" w:rsidRPr="00727BED">
        <w:rPr>
          <w:rFonts w:cstheme="minorHAnsi"/>
          <w:color w:val="373737"/>
          <w:shd w:val="clear" w:color="auto" w:fill="FFFFFF"/>
        </w:rPr>
        <w:t>, a new transmission-blocking vaccine (TBV) candidate that could block parasite transmission of P. falciparum and P. vivax in different Anopheles species from humans to mosquitoes, is currently preparing for Phase I human trials in </w:t>
      </w:r>
      <w:r w:rsidR="00C1720D" w:rsidRPr="00727BED">
        <w:rPr>
          <w:rStyle w:val="xn-location"/>
          <w:rFonts w:cstheme="minorHAnsi"/>
          <w:color w:val="373737"/>
          <w:shd w:val="clear" w:color="auto" w:fill="FFFFFF"/>
        </w:rPr>
        <w:t>Gabon</w:t>
      </w:r>
      <w:r w:rsidR="00C1720D" w:rsidRPr="00727BED">
        <w:rPr>
          <w:rFonts w:cstheme="minorHAnsi"/>
          <w:color w:val="373737"/>
          <w:shd w:val="clear" w:color="auto" w:fill="FFFFFF"/>
        </w:rPr>
        <w:t>, </w:t>
      </w:r>
      <w:r w:rsidR="00C1720D" w:rsidRPr="00727BED">
        <w:rPr>
          <w:rStyle w:val="xn-location"/>
          <w:rFonts w:cstheme="minorHAnsi"/>
          <w:color w:val="373737"/>
          <w:shd w:val="clear" w:color="auto" w:fill="FFFFFF"/>
        </w:rPr>
        <w:t>Africa</w:t>
      </w:r>
      <w:r w:rsidR="00C1720D" w:rsidRPr="00727BED">
        <w:rPr>
          <w:rFonts w:cstheme="minorHAnsi"/>
          <w:color w:val="373737"/>
          <w:shd w:val="clear" w:color="auto" w:fill="FFFFFF"/>
        </w:rPr>
        <w:t>. The development of a TBV is essential to prevent the spread of antimalarial drug-resistant parasites, and as a next-generation malaria vaccine that can directly support the malaria eradication effort.</w:t>
      </w:r>
      <w:r w:rsidR="0017325E" w:rsidRPr="00727BED">
        <w:rPr>
          <w:rFonts w:cstheme="minorHAnsi"/>
          <w:color w:val="373737"/>
          <w:shd w:val="clear" w:color="auto" w:fill="FFFFFF"/>
        </w:rPr>
        <w:t xml:space="preserve"> The GHIT Fund is a </w:t>
      </w:r>
      <w:r w:rsidR="0017325E" w:rsidRPr="00727BED">
        <w:rPr>
          <w:rStyle w:val="xn-location"/>
          <w:rFonts w:cstheme="minorHAnsi"/>
          <w:color w:val="373737"/>
          <w:shd w:val="clear" w:color="auto" w:fill="FFFFFF"/>
        </w:rPr>
        <w:t>Japan</w:t>
      </w:r>
      <w:r w:rsidR="0017325E" w:rsidRPr="00727BED">
        <w:rPr>
          <w:rFonts w:cstheme="minorHAnsi"/>
          <w:color w:val="373737"/>
          <w:shd w:val="clear" w:color="auto" w:fill="FFFFFF"/>
        </w:rPr>
        <w:t>-based international public-private partnership fund (PPP) between the Government of </w:t>
      </w:r>
      <w:r w:rsidR="0017325E" w:rsidRPr="00727BED">
        <w:rPr>
          <w:rStyle w:val="xn-location"/>
          <w:rFonts w:cstheme="minorHAnsi"/>
          <w:color w:val="373737"/>
          <w:shd w:val="clear" w:color="auto" w:fill="FFFFFF"/>
        </w:rPr>
        <w:t>Japan</w:t>
      </w:r>
      <w:r w:rsidR="0017325E" w:rsidRPr="00727BED">
        <w:rPr>
          <w:rFonts w:cstheme="minorHAnsi"/>
          <w:color w:val="373737"/>
          <w:shd w:val="clear" w:color="auto" w:fill="FFFFFF"/>
        </w:rPr>
        <w:t>, multiple pharmaceutical companies, the Bill &amp; Melinda Gates Foundation, the Wellcome, and the United Nations Development Programme (UNDP). </w:t>
      </w:r>
    </w:p>
    <w:p w14:paraId="1F5575A5" w14:textId="31D5CAEE" w:rsidR="00BB1CC4" w:rsidRPr="00727BED" w:rsidRDefault="00D2162A" w:rsidP="009F49B9">
      <w:pPr>
        <w:spacing w:before="240"/>
        <w:rPr>
          <w:rFonts w:cstheme="minorHAnsi"/>
        </w:rPr>
      </w:pPr>
      <w:r w:rsidRPr="00727BED">
        <w:rPr>
          <w:rFonts w:cstheme="minorHAnsi"/>
          <w:color w:val="000000"/>
          <w:shd w:val="clear" w:color="auto" w:fill="FFFFFF"/>
        </w:rPr>
        <w:t xml:space="preserve">Link: </w:t>
      </w:r>
      <w:hyperlink r:id="rId9" w:history="1">
        <w:r w:rsidRPr="00727BED">
          <w:rPr>
            <w:rStyle w:val="Hyperlink"/>
            <w:rFonts w:cstheme="minorHAnsi"/>
          </w:rPr>
          <w:t>GHIT Fund Announces New Investments: A Total of 2.3 Billion Yen in Drugs for Malaria, Tuberculosis, Chagas Disease and Visceral Leishmaniasis, Vaccine for Malaria and Diagnostics for Tuberculosis (prnewswire.com)</w:t>
        </w:r>
      </w:hyperlink>
    </w:p>
    <w:p w14:paraId="7F3D257F" w14:textId="350798E1" w:rsidR="00D2162A" w:rsidRPr="00727BED" w:rsidRDefault="00D2162A" w:rsidP="00D2162A">
      <w:pPr>
        <w:spacing w:before="240"/>
        <w:ind w:left="851"/>
        <w:rPr>
          <w:rFonts w:eastAsia="Times New Roman" w:cstheme="minorHAnsi"/>
          <w:color w:val="000000"/>
        </w:rPr>
      </w:pPr>
      <w:r w:rsidRPr="00727BED">
        <w:rPr>
          <w:rFonts w:eastAsia="Times New Roman" w:cstheme="minorHAnsi"/>
          <w:b/>
          <w:bCs/>
          <w:color w:val="000000"/>
        </w:rPr>
        <w:t>Relevance to RAM</w:t>
      </w:r>
      <w:r w:rsidRPr="00727BED">
        <w:rPr>
          <w:rFonts w:eastAsia="Times New Roman" w:cstheme="minorHAnsi"/>
          <w:color w:val="000000"/>
        </w:rPr>
        <w:t xml:space="preserve">:  The </w:t>
      </w:r>
      <w:r w:rsidR="007E3AE2" w:rsidRPr="00727BED">
        <w:rPr>
          <w:rFonts w:eastAsia="Times New Roman" w:cstheme="minorHAnsi"/>
          <w:color w:val="000000"/>
        </w:rPr>
        <w:t xml:space="preserve">injection of </w:t>
      </w:r>
      <w:r w:rsidR="00AA08E1" w:rsidRPr="00727BED">
        <w:rPr>
          <w:rFonts w:eastAsia="Times New Roman" w:cstheme="minorHAnsi"/>
          <w:color w:val="000000"/>
        </w:rPr>
        <w:t>funds into malaria research is always welcome</w:t>
      </w:r>
      <w:r w:rsidR="00EE4A9E" w:rsidRPr="00727BED">
        <w:rPr>
          <w:rFonts w:eastAsia="Times New Roman" w:cstheme="minorHAnsi"/>
          <w:color w:val="000000"/>
        </w:rPr>
        <w:t xml:space="preserve">, and in this case </w:t>
      </w:r>
      <w:r w:rsidR="00AD48CF" w:rsidRPr="00727BED">
        <w:rPr>
          <w:rFonts w:eastAsia="Times New Roman" w:cstheme="minorHAnsi"/>
          <w:color w:val="000000"/>
        </w:rPr>
        <w:t>some of the partners (</w:t>
      </w:r>
      <w:r w:rsidR="00727BED" w:rsidRPr="00727BED">
        <w:rPr>
          <w:rFonts w:eastAsia="Times New Roman" w:cstheme="minorHAnsi"/>
          <w:color w:val="000000"/>
        </w:rPr>
        <w:t xml:space="preserve">for example, </w:t>
      </w:r>
      <w:r w:rsidR="00AD48CF" w:rsidRPr="00727BED">
        <w:rPr>
          <w:rFonts w:eastAsia="Times New Roman" w:cstheme="minorHAnsi"/>
          <w:color w:val="000000"/>
        </w:rPr>
        <w:t xml:space="preserve"> </w:t>
      </w:r>
      <w:r w:rsidR="009A6110" w:rsidRPr="00727BED">
        <w:rPr>
          <w:rFonts w:eastAsia="Times New Roman" w:cstheme="minorHAnsi"/>
          <w:color w:val="000000"/>
        </w:rPr>
        <w:t>the Bill &amp; Melinda Gates Foundation) are well known to Rotary.</w:t>
      </w:r>
      <w:r w:rsidR="00A970A4" w:rsidRPr="00727BED">
        <w:rPr>
          <w:rFonts w:eastAsia="Times New Roman" w:cstheme="minorHAnsi"/>
          <w:color w:val="000000"/>
        </w:rPr>
        <w:t xml:space="preserve">  Recent efforts to coordinate communication between Rotary action groups world-wide</w:t>
      </w:r>
      <w:r w:rsidR="000F0932" w:rsidRPr="00727BED">
        <w:rPr>
          <w:rFonts w:eastAsia="Times New Roman" w:cstheme="minorHAnsi"/>
          <w:color w:val="000000"/>
        </w:rPr>
        <w:t xml:space="preserve"> and various partners</w:t>
      </w:r>
      <w:r w:rsidR="00927070" w:rsidRPr="00727BED">
        <w:rPr>
          <w:rFonts w:eastAsia="Times New Roman" w:cstheme="minorHAnsi"/>
          <w:color w:val="000000"/>
        </w:rPr>
        <w:t xml:space="preserve"> such as the Global Fund</w:t>
      </w:r>
      <w:r w:rsidR="00897A5D" w:rsidRPr="00727BED">
        <w:rPr>
          <w:rFonts w:eastAsia="Times New Roman" w:cstheme="minorHAnsi"/>
          <w:color w:val="000000"/>
        </w:rPr>
        <w:t xml:space="preserve"> need to </w:t>
      </w:r>
      <w:r w:rsidR="00727BED" w:rsidRPr="00727BED">
        <w:rPr>
          <w:rFonts w:eastAsia="Times New Roman" w:cstheme="minorHAnsi"/>
          <w:color w:val="000000"/>
        </w:rPr>
        <w:t>continue and</w:t>
      </w:r>
      <w:r w:rsidR="00897A5D" w:rsidRPr="00727BED">
        <w:rPr>
          <w:rFonts w:eastAsia="Times New Roman" w:cstheme="minorHAnsi"/>
          <w:color w:val="000000"/>
        </w:rPr>
        <w:t xml:space="preserve"> be extended to prospective new partners such as </w:t>
      </w:r>
      <w:r w:rsidR="0017544A" w:rsidRPr="00727BED">
        <w:rPr>
          <w:rFonts w:eastAsia="Times New Roman" w:cstheme="minorHAnsi"/>
          <w:color w:val="000000"/>
        </w:rPr>
        <w:t>GHIT.</w:t>
      </w:r>
    </w:p>
    <w:p w14:paraId="00D5AD95" w14:textId="638EF4B4" w:rsidR="0017544A" w:rsidRPr="00727BED" w:rsidRDefault="0017544A" w:rsidP="0017544A">
      <w:pPr>
        <w:spacing w:before="240"/>
        <w:rPr>
          <w:rFonts w:eastAsia="Times New Roman" w:cstheme="minorHAnsi"/>
          <w:color w:val="000000"/>
        </w:rPr>
      </w:pPr>
      <w:r w:rsidRPr="00727BED">
        <w:rPr>
          <w:rFonts w:eastAsia="Times New Roman" w:cstheme="minorHAnsi"/>
          <w:b/>
          <w:bCs/>
          <w:color w:val="000000"/>
        </w:rPr>
        <w:t>Climate Change</w:t>
      </w:r>
      <w:r w:rsidR="004A2B88" w:rsidRPr="00727BED">
        <w:rPr>
          <w:rFonts w:eastAsia="Times New Roman" w:cstheme="minorHAnsi"/>
          <w:color w:val="000000"/>
        </w:rPr>
        <w:t xml:space="preserve">: </w:t>
      </w:r>
      <w:r w:rsidR="00AC27F8" w:rsidRPr="00727BED">
        <w:rPr>
          <w:rFonts w:cstheme="minorHAnsi"/>
        </w:rPr>
        <w:t>The slowdown in global warming that was observed at the end of last century was reflected by a decrease in malaria transmission in the Ethiopian highlands.</w:t>
      </w:r>
      <w:r w:rsidR="00FC3043" w:rsidRPr="00727BED">
        <w:rPr>
          <w:rFonts w:cstheme="minorHAnsi"/>
        </w:rPr>
        <w:t xml:space="preserve"> For several years there has been a heated debate on the impact of global warming on malaria incidence. It is believed that the largest effect could occur in the highlands, where lower temperatures limit vector abundance, leading to intermittent and seasonal disease outbreaks.</w:t>
      </w:r>
      <w:r w:rsidR="00EF2EFB" w:rsidRPr="00727BED">
        <w:rPr>
          <w:rFonts w:cstheme="minorHAnsi"/>
        </w:rPr>
        <w:t xml:space="preserve">  Using mathematical modelling, the research team analysed the association between malaria cases, regional climate (local temperatures and rainfall) and global climate (in particular the effect of El Niño and the Pacific Decadal Oscillation on the Pacific Ocean). The results show that the variation in malaria cases correlates extremely well with changes in regional temperatures:</w:t>
      </w:r>
      <w:r w:rsidR="006F672D" w:rsidRPr="00727BED">
        <w:rPr>
          <w:rFonts w:cstheme="minorHAnsi"/>
        </w:rPr>
        <w:t xml:space="preserve">  These results emphasise the value of considering climate conditions when evaluating public health interventions aimed at disease control, and of integrating them into early warning systems.</w:t>
      </w:r>
    </w:p>
    <w:p w14:paraId="03BEE0A4" w14:textId="2BCF6FAC" w:rsidR="00BB1CC4" w:rsidRPr="00727BED" w:rsidRDefault="00B01F38" w:rsidP="009F49B9">
      <w:pPr>
        <w:spacing w:before="240"/>
        <w:rPr>
          <w:rFonts w:cstheme="minorHAnsi"/>
          <w:color w:val="000000"/>
          <w:shd w:val="clear" w:color="auto" w:fill="FFFFFF"/>
        </w:rPr>
      </w:pPr>
      <w:r w:rsidRPr="00727BED">
        <w:rPr>
          <w:rFonts w:cstheme="minorHAnsi"/>
          <w:color w:val="000000"/>
          <w:shd w:val="clear" w:color="auto" w:fill="FFFFFF"/>
        </w:rPr>
        <w:t xml:space="preserve">Link: </w:t>
      </w:r>
      <w:hyperlink r:id="rId10" w:history="1">
        <w:r w:rsidRPr="00727BED">
          <w:rPr>
            <w:rStyle w:val="Hyperlink"/>
            <w:rFonts w:cstheme="minorHAnsi"/>
          </w:rPr>
          <w:t>8b9a0b35-6d56-46b6-a296-5ec6aeca2e50 (isglobal.org)</w:t>
        </w:r>
      </w:hyperlink>
    </w:p>
    <w:p w14:paraId="6D498DCD" w14:textId="2B7E698C" w:rsidR="00D6622F" w:rsidRPr="00727BED" w:rsidRDefault="00D6622F" w:rsidP="00D6622F">
      <w:pPr>
        <w:spacing w:before="240"/>
        <w:ind w:left="851"/>
        <w:rPr>
          <w:rFonts w:cstheme="minorHAnsi"/>
          <w:color w:val="000000"/>
          <w:shd w:val="clear" w:color="auto" w:fill="FFFFFF"/>
        </w:rPr>
      </w:pPr>
      <w:r w:rsidRPr="00727BED">
        <w:rPr>
          <w:rFonts w:eastAsia="Times New Roman" w:cstheme="minorHAnsi"/>
          <w:b/>
          <w:bCs/>
          <w:color w:val="000000"/>
        </w:rPr>
        <w:t>Relevance to RAM</w:t>
      </w:r>
      <w:r w:rsidRPr="00727BED">
        <w:rPr>
          <w:rFonts w:eastAsia="Times New Roman" w:cstheme="minorHAnsi"/>
          <w:color w:val="000000"/>
        </w:rPr>
        <w:t>:  Given that RAM operates in areas with highlands (</w:t>
      </w:r>
      <w:r w:rsidR="00727BED" w:rsidRPr="00727BED">
        <w:rPr>
          <w:rFonts w:eastAsia="Times New Roman" w:cstheme="minorHAnsi"/>
          <w:color w:val="000000"/>
        </w:rPr>
        <w:t xml:space="preserve">for example, </w:t>
      </w:r>
      <w:r w:rsidRPr="00727BED">
        <w:rPr>
          <w:rFonts w:eastAsia="Times New Roman" w:cstheme="minorHAnsi"/>
          <w:color w:val="000000"/>
        </w:rPr>
        <w:t xml:space="preserve"> PNG) we may need to factor climate effects into our assessments of the effectiveness of our intervention measures. </w:t>
      </w:r>
    </w:p>
    <w:p w14:paraId="2910BCA5" w14:textId="77777777" w:rsidR="00D6622F" w:rsidRPr="00727BED" w:rsidRDefault="00D6622F" w:rsidP="009F49B9">
      <w:pPr>
        <w:spacing w:before="240"/>
        <w:rPr>
          <w:rFonts w:cstheme="minorHAnsi"/>
          <w:color w:val="000000"/>
          <w:shd w:val="clear" w:color="auto" w:fill="FFFFFF"/>
        </w:rPr>
      </w:pPr>
    </w:p>
    <w:p w14:paraId="572EAE6D" w14:textId="0221D080" w:rsidR="006A5C8C" w:rsidRPr="00727BED" w:rsidRDefault="00360562" w:rsidP="009F49B9">
      <w:pPr>
        <w:spacing w:before="240"/>
        <w:rPr>
          <w:rFonts w:cstheme="minorHAnsi"/>
          <w:color w:val="000000"/>
          <w:shd w:val="clear" w:color="auto" w:fill="FFFFFF"/>
        </w:rPr>
      </w:pPr>
      <w:r w:rsidRPr="00727BED">
        <w:rPr>
          <w:rFonts w:cstheme="minorHAnsi"/>
          <w:color w:val="000000"/>
          <w:shd w:val="clear" w:color="auto" w:fill="FFFFFF"/>
        </w:rPr>
        <w:t>Bruce Anderson</w:t>
      </w:r>
      <w:r w:rsidR="00E73D1E" w:rsidRPr="00727BED">
        <w:rPr>
          <w:rFonts w:cstheme="minorHAnsi"/>
          <w:color w:val="000000"/>
          <w:shd w:val="clear" w:color="auto" w:fill="FFFFFF"/>
        </w:rPr>
        <w:t xml:space="preserve"> 1</w:t>
      </w:r>
      <w:r w:rsidR="00B8063A" w:rsidRPr="00727BED">
        <w:rPr>
          <w:rFonts w:cstheme="minorHAnsi"/>
          <w:color w:val="000000"/>
          <w:shd w:val="clear" w:color="auto" w:fill="FFFFFF"/>
        </w:rPr>
        <w:t>3</w:t>
      </w:r>
      <w:r w:rsidR="00E73D1E" w:rsidRPr="00727BED">
        <w:rPr>
          <w:rFonts w:cstheme="minorHAnsi"/>
          <w:color w:val="000000"/>
          <w:shd w:val="clear" w:color="auto" w:fill="FFFFFF"/>
        </w:rPr>
        <w:t xml:space="preserve"> </w:t>
      </w:r>
      <w:r w:rsidR="00B8063A" w:rsidRPr="00727BED">
        <w:rPr>
          <w:rFonts w:cstheme="minorHAnsi"/>
          <w:color w:val="000000"/>
          <w:shd w:val="clear" w:color="auto" w:fill="FFFFFF"/>
        </w:rPr>
        <w:t>May</w:t>
      </w:r>
      <w:r w:rsidR="00E73D1E" w:rsidRPr="00727BED">
        <w:rPr>
          <w:rFonts w:cstheme="minorHAnsi"/>
          <w:color w:val="000000"/>
          <w:shd w:val="clear" w:color="auto" w:fill="FFFFFF"/>
        </w:rPr>
        <w:t xml:space="preserve"> 202</w:t>
      </w:r>
      <w:r w:rsidR="00DC5060" w:rsidRPr="00727BED">
        <w:rPr>
          <w:rFonts w:cstheme="minorHAnsi"/>
          <w:color w:val="000000"/>
          <w:shd w:val="clear" w:color="auto" w:fill="FFFFFF"/>
        </w:rPr>
        <w:t>1</w:t>
      </w:r>
    </w:p>
    <w:sectPr w:rsidR="006A5C8C" w:rsidRPr="00727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76E"/>
    <w:multiLevelType w:val="hybridMultilevel"/>
    <w:tmpl w:val="1752F5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672DE8"/>
    <w:multiLevelType w:val="multilevel"/>
    <w:tmpl w:val="95207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44AA1"/>
    <w:multiLevelType w:val="hybridMultilevel"/>
    <w:tmpl w:val="1BA633F2"/>
    <w:lvl w:ilvl="0" w:tplc="B34025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7282971"/>
    <w:multiLevelType w:val="hybridMultilevel"/>
    <w:tmpl w:val="7B12E4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47"/>
    <w:rsid w:val="00012340"/>
    <w:rsid w:val="0002586F"/>
    <w:rsid w:val="00026C08"/>
    <w:rsid w:val="00030A8F"/>
    <w:rsid w:val="000429AD"/>
    <w:rsid w:val="00053725"/>
    <w:rsid w:val="00053FA8"/>
    <w:rsid w:val="00056FE6"/>
    <w:rsid w:val="00066ACF"/>
    <w:rsid w:val="00076D4A"/>
    <w:rsid w:val="0008297D"/>
    <w:rsid w:val="0008767E"/>
    <w:rsid w:val="00096B8A"/>
    <w:rsid w:val="000A0C58"/>
    <w:rsid w:val="000A2960"/>
    <w:rsid w:val="000A5AF1"/>
    <w:rsid w:val="000B1B62"/>
    <w:rsid w:val="000B4F75"/>
    <w:rsid w:val="000C35D3"/>
    <w:rsid w:val="000F0932"/>
    <w:rsid w:val="00105387"/>
    <w:rsid w:val="00111714"/>
    <w:rsid w:val="0011336A"/>
    <w:rsid w:val="001308AF"/>
    <w:rsid w:val="00133D2A"/>
    <w:rsid w:val="00135426"/>
    <w:rsid w:val="001362D0"/>
    <w:rsid w:val="0017325E"/>
    <w:rsid w:val="0017544A"/>
    <w:rsid w:val="00177CFF"/>
    <w:rsid w:val="001828C2"/>
    <w:rsid w:val="001A6091"/>
    <w:rsid w:val="001A64E4"/>
    <w:rsid w:val="001B1C78"/>
    <w:rsid w:val="001B2E40"/>
    <w:rsid w:val="001B3327"/>
    <w:rsid w:val="001B5553"/>
    <w:rsid w:val="001B673E"/>
    <w:rsid w:val="001E6ECD"/>
    <w:rsid w:val="001F0010"/>
    <w:rsid w:val="0021319A"/>
    <w:rsid w:val="00222ABA"/>
    <w:rsid w:val="00226444"/>
    <w:rsid w:val="00234D23"/>
    <w:rsid w:val="0025273B"/>
    <w:rsid w:val="002727B2"/>
    <w:rsid w:val="002A684E"/>
    <w:rsid w:val="002B785B"/>
    <w:rsid w:val="002B7B3C"/>
    <w:rsid w:val="002D07AE"/>
    <w:rsid w:val="003212B7"/>
    <w:rsid w:val="00334729"/>
    <w:rsid w:val="00341BFA"/>
    <w:rsid w:val="00344D38"/>
    <w:rsid w:val="00350A9E"/>
    <w:rsid w:val="00360562"/>
    <w:rsid w:val="003628DA"/>
    <w:rsid w:val="00363304"/>
    <w:rsid w:val="003741C3"/>
    <w:rsid w:val="00383B26"/>
    <w:rsid w:val="00397507"/>
    <w:rsid w:val="003B2543"/>
    <w:rsid w:val="003B4172"/>
    <w:rsid w:val="003B7F12"/>
    <w:rsid w:val="003C5C56"/>
    <w:rsid w:val="003D5899"/>
    <w:rsid w:val="003E6DA2"/>
    <w:rsid w:val="003E7567"/>
    <w:rsid w:val="003E78AB"/>
    <w:rsid w:val="00400DAD"/>
    <w:rsid w:val="0040124B"/>
    <w:rsid w:val="004017AD"/>
    <w:rsid w:val="00407A1E"/>
    <w:rsid w:val="0041351B"/>
    <w:rsid w:val="00422CA1"/>
    <w:rsid w:val="00427205"/>
    <w:rsid w:val="00430FF6"/>
    <w:rsid w:val="0043258D"/>
    <w:rsid w:val="00454DE2"/>
    <w:rsid w:val="0046742A"/>
    <w:rsid w:val="004760D4"/>
    <w:rsid w:val="0048721B"/>
    <w:rsid w:val="00490468"/>
    <w:rsid w:val="004A2B88"/>
    <w:rsid w:val="004B5874"/>
    <w:rsid w:val="004B739E"/>
    <w:rsid w:val="004C2884"/>
    <w:rsid w:val="004F0550"/>
    <w:rsid w:val="005026EA"/>
    <w:rsid w:val="00521B17"/>
    <w:rsid w:val="0052657E"/>
    <w:rsid w:val="0053659C"/>
    <w:rsid w:val="00546229"/>
    <w:rsid w:val="00551C47"/>
    <w:rsid w:val="005675A1"/>
    <w:rsid w:val="00590783"/>
    <w:rsid w:val="0059373F"/>
    <w:rsid w:val="005B0D63"/>
    <w:rsid w:val="005C6458"/>
    <w:rsid w:val="005C7974"/>
    <w:rsid w:val="005D065A"/>
    <w:rsid w:val="005E535E"/>
    <w:rsid w:val="005E6016"/>
    <w:rsid w:val="00616D41"/>
    <w:rsid w:val="006248A4"/>
    <w:rsid w:val="00637328"/>
    <w:rsid w:val="0063774B"/>
    <w:rsid w:val="00640D0E"/>
    <w:rsid w:val="006552DB"/>
    <w:rsid w:val="00661963"/>
    <w:rsid w:val="00665AC8"/>
    <w:rsid w:val="006736FA"/>
    <w:rsid w:val="006841F3"/>
    <w:rsid w:val="006A358C"/>
    <w:rsid w:val="006A5C8C"/>
    <w:rsid w:val="006B14A2"/>
    <w:rsid w:val="006D7B48"/>
    <w:rsid w:val="006F672D"/>
    <w:rsid w:val="006F6B9F"/>
    <w:rsid w:val="00712289"/>
    <w:rsid w:val="00712E47"/>
    <w:rsid w:val="007158B6"/>
    <w:rsid w:val="00727067"/>
    <w:rsid w:val="007277C3"/>
    <w:rsid w:val="00727BED"/>
    <w:rsid w:val="00735199"/>
    <w:rsid w:val="00740B32"/>
    <w:rsid w:val="00761740"/>
    <w:rsid w:val="00767D17"/>
    <w:rsid w:val="007758AA"/>
    <w:rsid w:val="0079676E"/>
    <w:rsid w:val="007B3214"/>
    <w:rsid w:val="007C653B"/>
    <w:rsid w:val="007E3AE2"/>
    <w:rsid w:val="007E68F6"/>
    <w:rsid w:val="007F0962"/>
    <w:rsid w:val="007F0B76"/>
    <w:rsid w:val="008035A6"/>
    <w:rsid w:val="00820922"/>
    <w:rsid w:val="008245A2"/>
    <w:rsid w:val="008253C8"/>
    <w:rsid w:val="00832560"/>
    <w:rsid w:val="008366A2"/>
    <w:rsid w:val="00837D1B"/>
    <w:rsid w:val="00842DE0"/>
    <w:rsid w:val="00845115"/>
    <w:rsid w:val="00873142"/>
    <w:rsid w:val="00875A81"/>
    <w:rsid w:val="00877416"/>
    <w:rsid w:val="008831A6"/>
    <w:rsid w:val="00890A47"/>
    <w:rsid w:val="008941AF"/>
    <w:rsid w:val="00897A5D"/>
    <w:rsid w:val="008A6753"/>
    <w:rsid w:val="008B5A8E"/>
    <w:rsid w:val="008D10A2"/>
    <w:rsid w:val="008D2E52"/>
    <w:rsid w:val="008D7F7D"/>
    <w:rsid w:val="008E1878"/>
    <w:rsid w:val="008F2254"/>
    <w:rsid w:val="0090233F"/>
    <w:rsid w:val="00907C68"/>
    <w:rsid w:val="00920C60"/>
    <w:rsid w:val="009221B6"/>
    <w:rsid w:val="00927070"/>
    <w:rsid w:val="009328F6"/>
    <w:rsid w:val="00943420"/>
    <w:rsid w:val="0095287C"/>
    <w:rsid w:val="00961931"/>
    <w:rsid w:val="00961FCE"/>
    <w:rsid w:val="00975597"/>
    <w:rsid w:val="00975BE7"/>
    <w:rsid w:val="0097750A"/>
    <w:rsid w:val="00980FEE"/>
    <w:rsid w:val="0098374F"/>
    <w:rsid w:val="009971A8"/>
    <w:rsid w:val="0099757D"/>
    <w:rsid w:val="009A0A96"/>
    <w:rsid w:val="009A0CD1"/>
    <w:rsid w:val="009A6110"/>
    <w:rsid w:val="009D092A"/>
    <w:rsid w:val="009F0798"/>
    <w:rsid w:val="009F49B9"/>
    <w:rsid w:val="009F704E"/>
    <w:rsid w:val="00A10470"/>
    <w:rsid w:val="00A2466A"/>
    <w:rsid w:val="00A268D5"/>
    <w:rsid w:val="00A340DF"/>
    <w:rsid w:val="00A500C9"/>
    <w:rsid w:val="00A64C60"/>
    <w:rsid w:val="00A74154"/>
    <w:rsid w:val="00A970A4"/>
    <w:rsid w:val="00AA08E1"/>
    <w:rsid w:val="00AA5C48"/>
    <w:rsid w:val="00AB0D85"/>
    <w:rsid w:val="00AB7C94"/>
    <w:rsid w:val="00AC27F8"/>
    <w:rsid w:val="00AD1506"/>
    <w:rsid w:val="00AD4138"/>
    <w:rsid w:val="00AD48CF"/>
    <w:rsid w:val="00AE54BA"/>
    <w:rsid w:val="00B01F38"/>
    <w:rsid w:val="00B1053D"/>
    <w:rsid w:val="00B2092F"/>
    <w:rsid w:val="00B235C2"/>
    <w:rsid w:val="00B34373"/>
    <w:rsid w:val="00B3645B"/>
    <w:rsid w:val="00B421C6"/>
    <w:rsid w:val="00B65F78"/>
    <w:rsid w:val="00B71D78"/>
    <w:rsid w:val="00B75064"/>
    <w:rsid w:val="00B8063A"/>
    <w:rsid w:val="00B80AEA"/>
    <w:rsid w:val="00B84288"/>
    <w:rsid w:val="00BA351A"/>
    <w:rsid w:val="00BB1CC4"/>
    <w:rsid w:val="00BC37AF"/>
    <w:rsid w:val="00BC58C2"/>
    <w:rsid w:val="00BE0607"/>
    <w:rsid w:val="00BF6E60"/>
    <w:rsid w:val="00BF7844"/>
    <w:rsid w:val="00C010AC"/>
    <w:rsid w:val="00C07280"/>
    <w:rsid w:val="00C13808"/>
    <w:rsid w:val="00C1720D"/>
    <w:rsid w:val="00C3645A"/>
    <w:rsid w:val="00C40E57"/>
    <w:rsid w:val="00C600BE"/>
    <w:rsid w:val="00C6227C"/>
    <w:rsid w:val="00C729C1"/>
    <w:rsid w:val="00C906E2"/>
    <w:rsid w:val="00C9547F"/>
    <w:rsid w:val="00CA19BF"/>
    <w:rsid w:val="00CB6297"/>
    <w:rsid w:val="00CC3D28"/>
    <w:rsid w:val="00CF34E1"/>
    <w:rsid w:val="00D15F20"/>
    <w:rsid w:val="00D2162A"/>
    <w:rsid w:val="00D24E6A"/>
    <w:rsid w:val="00D2540C"/>
    <w:rsid w:val="00D2650A"/>
    <w:rsid w:val="00D373A9"/>
    <w:rsid w:val="00D4590E"/>
    <w:rsid w:val="00D61723"/>
    <w:rsid w:val="00D6622F"/>
    <w:rsid w:val="00D66CF1"/>
    <w:rsid w:val="00D67380"/>
    <w:rsid w:val="00D908B6"/>
    <w:rsid w:val="00DA008A"/>
    <w:rsid w:val="00DB16F9"/>
    <w:rsid w:val="00DC3FDD"/>
    <w:rsid w:val="00DC5060"/>
    <w:rsid w:val="00DC6A2B"/>
    <w:rsid w:val="00DC7690"/>
    <w:rsid w:val="00DE287E"/>
    <w:rsid w:val="00DE3557"/>
    <w:rsid w:val="00DF190D"/>
    <w:rsid w:val="00DF317D"/>
    <w:rsid w:val="00E053E1"/>
    <w:rsid w:val="00E07CAD"/>
    <w:rsid w:val="00E104C9"/>
    <w:rsid w:val="00E26CB3"/>
    <w:rsid w:val="00E32388"/>
    <w:rsid w:val="00E333A4"/>
    <w:rsid w:val="00E56F33"/>
    <w:rsid w:val="00E73D1E"/>
    <w:rsid w:val="00E767F1"/>
    <w:rsid w:val="00E80D98"/>
    <w:rsid w:val="00E81939"/>
    <w:rsid w:val="00E963DF"/>
    <w:rsid w:val="00E965AC"/>
    <w:rsid w:val="00E96DE2"/>
    <w:rsid w:val="00E97419"/>
    <w:rsid w:val="00EB2516"/>
    <w:rsid w:val="00EB6750"/>
    <w:rsid w:val="00EC04FC"/>
    <w:rsid w:val="00EC0948"/>
    <w:rsid w:val="00EC7C66"/>
    <w:rsid w:val="00EE1F3B"/>
    <w:rsid w:val="00EE4A9E"/>
    <w:rsid w:val="00EF2EFB"/>
    <w:rsid w:val="00F02AC2"/>
    <w:rsid w:val="00F20CF1"/>
    <w:rsid w:val="00F324E4"/>
    <w:rsid w:val="00F45A5F"/>
    <w:rsid w:val="00F56629"/>
    <w:rsid w:val="00F57709"/>
    <w:rsid w:val="00F91B59"/>
    <w:rsid w:val="00FC3043"/>
    <w:rsid w:val="00FC51F9"/>
    <w:rsid w:val="00FD46B3"/>
    <w:rsid w:val="00FE5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1463"/>
  <w15:chartTrackingRefBased/>
  <w15:docId w15:val="{6190BC8A-EA9F-4A94-A163-BFFCF6C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A47"/>
    <w:pPr>
      <w:ind w:left="720"/>
      <w:contextualSpacing/>
    </w:pPr>
  </w:style>
  <w:style w:type="character" w:styleId="Hyperlink">
    <w:name w:val="Hyperlink"/>
    <w:basedOn w:val="DefaultParagraphFont"/>
    <w:uiPriority w:val="99"/>
    <w:semiHidden/>
    <w:unhideWhenUsed/>
    <w:rsid w:val="00E32388"/>
    <w:rPr>
      <w:color w:val="0000FF"/>
      <w:u w:val="single"/>
    </w:rPr>
  </w:style>
  <w:style w:type="character" w:styleId="FollowedHyperlink">
    <w:name w:val="FollowedHyperlink"/>
    <w:basedOn w:val="DefaultParagraphFont"/>
    <w:uiPriority w:val="99"/>
    <w:semiHidden/>
    <w:unhideWhenUsed/>
    <w:rsid w:val="007B3214"/>
    <w:rPr>
      <w:color w:val="954F72" w:themeColor="followedHyperlink"/>
      <w:u w:val="single"/>
    </w:rPr>
  </w:style>
  <w:style w:type="paragraph" w:styleId="NormalWeb">
    <w:name w:val="Normal (Web)"/>
    <w:basedOn w:val="Normal"/>
    <w:uiPriority w:val="99"/>
    <w:semiHidden/>
    <w:unhideWhenUsed/>
    <w:rsid w:val="00727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27067"/>
    <w:rPr>
      <w:i/>
      <w:iCs/>
    </w:rPr>
  </w:style>
  <w:style w:type="character" w:customStyle="1" w:styleId="xn-money">
    <w:name w:val="xn-money"/>
    <w:basedOn w:val="DefaultParagraphFont"/>
    <w:rsid w:val="004B5874"/>
  </w:style>
  <w:style w:type="character" w:customStyle="1" w:styleId="xn-location">
    <w:name w:val="xn-location"/>
    <w:basedOn w:val="DefaultParagraphFont"/>
    <w:rsid w:val="00C1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2117">
      <w:bodyDiv w:val="1"/>
      <w:marLeft w:val="0"/>
      <w:marRight w:val="0"/>
      <w:marTop w:val="0"/>
      <w:marBottom w:val="0"/>
      <w:divBdr>
        <w:top w:val="none" w:sz="0" w:space="0" w:color="auto"/>
        <w:left w:val="none" w:sz="0" w:space="0" w:color="auto"/>
        <w:bottom w:val="none" w:sz="0" w:space="0" w:color="auto"/>
        <w:right w:val="none" w:sz="0" w:space="0" w:color="auto"/>
      </w:divBdr>
    </w:div>
    <w:div w:id="1581332604">
      <w:bodyDiv w:val="1"/>
      <w:marLeft w:val="0"/>
      <w:marRight w:val="0"/>
      <w:marTop w:val="0"/>
      <w:marBottom w:val="0"/>
      <w:divBdr>
        <w:top w:val="none" w:sz="0" w:space="0" w:color="auto"/>
        <w:left w:val="none" w:sz="0" w:space="0" w:color="auto"/>
        <w:bottom w:val="none" w:sz="0" w:space="0" w:color="auto"/>
        <w:right w:val="none" w:sz="0" w:space="0" w:color="auto"/>
      </w:divBdr>
    </w:div>
    <w:div w:id="1738819889">
      <w:bodyDiv w:val="1"/>
      <w:marLeft w:val="0"/>
      <w:marRight w:val="0"/>
      <w:marTop w:val="0"/>
      <w:marBottom w:val="0"/>
      <w:divBdr>
        <w:top w:val="none" w:sz="0" w:space="0" w:color="auto"/>
        <w:left w:val="none" w:sz="0" w:space="0" w:color="auto"/>
        <w:bottom w:val="none" w:sz="0" w:space="0" w:color="auto"/>
        <w:right w:val="none" w:sz="0" w:space="0" w:color="auto"/>
      </w:divBdr>
    </w:div>
    <w:div w:id="21353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ekalert.org/pub_releases/2021-04/tl-tli041421.php" TargetMode="External"/><Relationship Id="rId3" Type="http://schemas.openxmlformats.org/officeDocument/2006/relationships/settings" Target="settings.xml"/><Relationship Id="rId7" Type="http://schemas.openxmlformats.org/officeDocument/2006/relationships/hyperlink" Target="https://www.vox.com/future-perfect/22307700/malaria-rna-vaccine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healthnow.us14.list-manage.com/track/click?u=eb20503b111da8623142751ea&amp;id=f51d3cf404&amp;e=b5e93a730d" TargetMode="External"/><Relationship Id="rId11" Type="http://schemas.openxmlformats.org/officeDocument/2006/relationships/fontTable" Target="fontTable.xml"/><Relationship Id="rId5" Type="http://schemas.openxmlformats.org/officeDocument/2006/relationships/hyperlink" Target="https://nature.us17.list-manage.com/track/click?u=2c6057c528fdc6f73fa196d9d&amp;id=89171e7b12&amp;e=38c764c091" TargetMode="External"/><Relationship Id="rId10" Type="http://schemas.openxmlformats.org/officeDocument/2006/relationships/hyperlink" Target="https://www.isglobal.org/documents/10179/8761301/NdP_malaria_Ethiopia+eng.pdf/8b9a0b35-6d56-46b6-a296-5ec6aeca2e50" TargetMode="External"/><Relationship Id="rId4" Type="http://schemas.openxmlformats.org/officeDocument/2006/relationships/webSettings" Target="webSettings.xml"/><Relationship Id="rId9" Type="http://schemas.openxmlformats.org/officeDocument/2006/relationships/hyperlink" Target="https://www.prnewswire.com/news-releases/ghit-fund-announces-new-investments-a-total-of-2-3-billion-yen-in-drugs-for-malaria-tuberculosis-chagas-disease-and-visceral-leishmaniasis-vaccine-for-malaria-and-diagnostics-for-tuberculosis-3012590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Anderson</dc:creator>
  <cp:keywords/>
  <dc:description/>
  <cp:lastModifiedBy>Kerre Willsher</cp:lastModifiedBy>
  <cp:revision>3</cp:revision>
  <dcterms:created xsi:type="dcterms:W3CDTF">2021-05-18T13:41:00Z</dcterms:created>
  <dcterms:modified xsi:type="dcterms:W3CDTF">2021-05-28T16:15:00Z</dcterms:modified>
</cp:coreProperties>
</file>