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239D1" w14:textId="272132F7" w:rsidR="00A268B0" w:rsidRPr="007659A9" w:rsidRDefault="007573FD" w:rsidP="00E03062">
      <w:pPr>
        <w:pStyle w:val="Title"/>
        <w:jc w:val="center"/>
        <w:rPr>
          <w:b/>
          <w:sz w:val="40"/>
        </w:rPr>
      </w:pPr>
      <w:r w:rsidRPr="007659A9">
        <w:rPr>
          <w:b/>
          <w:sz w:val="40"/>
        </w:rPr>
        <w:t xml:space="preserve">Vanuatu Malaria </w:t>
      </w:r>
      <w:r w:rsidR="00E03062" w:rsidRPr="007659A9">
        <w:rPr>
          <w:b/>
          <w:sz w:val="40"/>
        </w:rPr>
        <w:t xml:space="preserve">Elimination Advisory Group </w:t>
      </w:r>
    </w:p>
    <w:p w14:paraId="7290DEBD" w14:textId="77777777" w:rsidR="005261DB" w:rsidRDefault="005261DB" w:rsidP="00A268B0">
      <w:pPr>
        <w:pStyle w:val="Title"/>
        <w:jc w:val="center"/>
        <w:rPr>
          <w:sz w:val="40"/>
        </w:rPr>
      </w:pPr>
    </w:p>
    <w:p w14:paraId="3ABDF45E" w14:textId="1642EC83" w:rsidR="00FE4192" w:rsidRDefault="00A268B0" w:rsidP="00A268B0">
      <w:pPr>
        <w:pStyle w:val="Title"/>
        <w:jc w:val="center"/>
        <w:rPr>
          <w:sz w:val="40"/>
        </w:rPr>
      </w:pPr>
      <w:r w:rsidRPr="00A268B0">
        <w:rPr>
          <w:sz w:val="40"/>
        </w:rPr>
        <w:t>Meeting Notes</w:t>
      </w:r>
      <w:r w:rsidR="002F2D99">
        <w:rPr>
          <w:sz w:val="40"/>
        </w:rPr>
        <w:t xml:space="preserve"> </w:t>
      </w:r>
      <w:bookmarkStart w:id="0" w:name="_GoBack"/>
      <w:bookmarkEnd w:id="0"/>
    </w:p>
    <w:p w14:paraId="24548FCB" w14:textId="77777777" w:rsidR="00A268B0" w:rsidRDefault="00A268B0" w:rsidP="00A268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461"/>
        <w:gridCol w:w="7095"/>
      </w:tblGrid>
      <w:tr w:rsidR="00887FF7" w14:paraId="13DCCE96" w14:textId="77777777" w:rsidTr="000926E7">
        <w:tc>
          <w:tcPr>
            <w:tcW w:w="1794" w:type="dxa"/>
          </w:tcPr>
          <w:p w14:paraId="5B1D29D3" w14:textId="77777777" w:rsidR="00887FF7" w:rsidRPr="00887FF7" w:rsidRDefault="00887FF7" w:rsidP="00A268B0">
            <w:pPr>
              <w:rPr>
                <w:b/>
              </w:rPr>
            </w:pPr>
            <w:r w:rsidRPr="00887FF7">
              <w:rPr>
                <w:b/>
              </w:rPr>
              <w:t>Date</w:t>
            </w:r>
          </w:p>
        </w:tc>
        <w:tc>
          <w:tcPr>
            <w:tcW w:w="461" w:type="dxa"/>
          </w:tcPr>
          <w:p w14:paraId="08DA5DA5" w14:textId="77777777" w:rsidR="00887FF7" w:rsidRDefault="00887FF7" w:rsidP="00A268B0">
            <w:r>
              <w:t>-</w:t>
            </w:r>
          </w:p>
        </w:tc>
        <w:tc>
          <w:tcPr>
            <w:tcW w:w="7095" w:type="dxa"/>
          </w:tcPr>
          <w:p w14:paraId="3C473C30" w14:textId="7F5F32F1" w:rsidR="00887FF7" w:rsidRDefault="00CB13BD" w:rsidP="00A268B0">
            <w:r>
              <w:t>Thursday</w:t>
            </w:r>
            <w:r w:rsidR="00C3722C">
              <w:t xml:space="preserve">, </w:t>
            </w:r>
            <w:r>
              <w:t>17 December</w:t>
            </w:r>
            <w:r w:rsidR="00E03062">
              <w:t xml:space="preserve"> </w:t>
            </w:r>
            <w:r w:rsidR="00C3722C">
              <w:t>2020</w:t>
            </w:r>
          </w:p>
        </w:tc>
      </w:tr>
      <w:tr w:rsidR="00887FF7" w14:paraId="65BC09DC" w14:textId="77777777" w:rsidTr="000926E7">
        <w:tc>
          <w:tcPr>
            <w:tcW w:w="1794" w:type="dxa"/>
          </w:tcPr>
          <w:p w14:paraId="18EE1F78" w14:textId="77777777" w:rsidR="00887FF7" w:rsidRPr="00887FF7" w:rsidRDefault="00887FF7" w:rsidP="00A268B0">
            <w:pPr>
              <w:rPr>
                <w:b/>
              </w:rPr>
            </w:pPr>
            <w:r w:rsidRPr="00887FF7">
              <w:rPr>
                <w:b/>
              </w:rPr>
              <w:t>Time</w:t>
            </w:r>
          </w:p>
        </w:tc>
        <w:tc>
          <w:tcPr>
            <w:tcW w:w="461" w:type="dxa"/>
          </w:tcPr>
          <w:p w14:paraId="023A034F" w14:textId="77777777" w:rsidR="00887FF7" w:rsidRDefault="00887FF7" w:rsidP="00A268B0">
            <w:r>
              <w:t>-</w:t>
            </w:r>
          </w:p>
        </w:tc>
        <w:tc>
          <w:tcPr>
            <w:tcW w:w="7095" w:type="dxa"/>
          </w:tcPr>
          <w:p w14:paraId="069D9078" w14:textId="547B9082" w:rsidR="00887FF7" w:rsidRDefault="00CB13BD" w:rsidP="00A268B0">
            <w:r>
              <w:t>09:00</w:t>
            </w:r>
            <w:r w:rsidR="00613655">
              <w:t xml:space="preserve"> am</w:t>
            </w:r>
          </w:p>
        </w:tc>
      </w:tr>
      <w:tr w:rsidR="00887FF7" w14:paraId="22E92C0C" w14:textId="77777777" w:rsidTr="000926E7">
        <w:tc>
          <w:tcPr>
            <w:tcW w:w="1794" w:type="dxa"/>
          </w:tcPr>
          <w:p w14:paraId="168520B7" w14:textId="77777777" w:rsidR="00887FF7" w:rsidRDefault="00887FF7" w:rsidP="00A268B0">
            <w:pPr>
              <w:rPr>
                <w:b/>
              </w:rPr>
            </w:pPr>
            <w:r w:rsidRPr="00887FF7">
              <w:rPr>
                <w:b/>
              </w:rPr>
              <w:t>Venue</w:t>
            </w:r>
          </w:p>
          <w:p w14:paraId="79D32B94" w14:textId="666046B3" w:rsidR="00CE1054" w:rsidRPr="00887FF7" w:rsidRDefault="00CE1054" w:rsidP="00A268B0">
            <w:pPr>
              <w:rPr>
                <w:b/>
              </w:rPr>
            </w:pPr>
          </w:p>
        </w:tc>
        <w:tc>
          <w:tcPr>
            <w:tcW w:w="461" w:type="dxa"/>
          </w:tcPr>
          <w:p w14:paraId="353BC88C" w14:textId="77777777" w:rsidR="00887FF7" w:rsidRDefault="00887FF7" w:rsidP="00A268B0">
            <w:r>
              <w:t>-</w:t>
            </w:r>
          </w:p>
        </w:tc>
        <w:tc>
          <w:tcPr>
            <w:tcW w:w="7095" w:type="dxa"/>
          </w:tcPr>
          <w:p w14:paraId="51897F65" w14:textId="4D5A22D4" w:rsidR="00887FF7" w:rsidRDefault="00EE39FD" w:rsidP="00A268B0">
            <w:r>
              <w:t xml:space="preserve">WHO </w:t>
            </w:r>
            <w:r w:rsidR="007573FD">
              <w:t xml:space="preserve">Country </w:t>
            </w:r>
            <w:r w:rsidR="00887FF7">
              <w:t xml:space="preserve">Office, </w:t>
            </w:r>
            <w:r w:rsidR="007573FD">
              <w:t>Ministry of Health</w:t>
            </w:r>
            <w:r w:rsidR="0060799A">
              <w:t>,</w:t>
            </w:r>
            <w:r w:rsidR="007573FD">
              <w:t xml:space="preserve"> Iatika Complex, Port Vila</w:t>
            </w:r>
            <w:r>
              <w:t>, Vanuatu</w:t>
            </w:r>
          </w:p>
        </w:tc>
      </w:tr>
      <w:tr w:rsidR="00887FF7" w14:paraId="3443436D" w14:textId="77777777" w:rsidTr="000926E7">
        <w:tc>
          <w:tcPr>
            <w:tcW w:w="1794" w:type="dxa"/>
            <w:vMerge w:val="restart"/>
          </w:tcPr>
          <w:p w14:paraId="71D378AA" w14:textId="2073B743" w:rsidR="00EF1714" w:rsidRDefault="00887FF7" w:rsidP="00A268B0">
            <w:pPr>
              <w:rPr>
                <w:b/>
              </w:rPr>
            </w:pPr>
            <w:r w:rsidRPr="00887FF7">
              <w:rPr>
                <w:b/>
              </w:rPr>
              <w:t>In</w:t>
            </w:r>
            <w:r w:rsidR="00CE1054">
              <w:rPr>
                <w:b/>
              </w:rPr>
              <w:t>-person</w:t>
            </w:r>
            <w:r w:rsidRPr="00887FF7">
              <w:rPr>
                <w:b/>
              </w:rPr>
              <w:t xml:space="preserve"> attendance</w:t>
            </w:r>
          </w:p>
          <w:p w14:paraId="2095B396" w14:textId="2A175171" w:rsidR="00EC0AFB" w:rsidRDefault="00EC0AFB" w:rsidP="00A268B0">
            <w:pPr>
              <w:rPr>
                <w:b/>
              </w:rPr>
            </w:pPr>
          </w:p>
          <w:p w14:paraId="5B9C2E9F" w14:textId="77777777" w:rsidR="00EC0AFB" w:rsidRDefault="00EC0AFB" w:rsidP="00A268B0">
            <w:pPr>
              <w:rPr>
                <w:b/>
              </w:rPr>
            </w:pPr>
          </w:p>
          <w:p w14:paraId="3CE0A94E" w14:textId="77777777" w:rsidR="000926E7" w:rsidRDefault="00EF1714" w:rsidP="00EF1714">
            <w:pPr>
              <w:rPr>
                <w:b/>
              </w:rPr>
            </w:pPr>
            <w:r>
              <w:rPr>
                <w:b/>
              </w:rPr>
              <w:t>Remote attendance</w:t>
            </w:r>
          </w:p>
          <w:p w14:paraId="54E60293" w14:textId="6542DFDC" w:rsidR="00EF1714" w:rsidRDefault="00EF1714" w:rsidP="00EF1714">
            <w:pPr>
              <w:rPr>
                <w:b/>
              </w:rPr>
            </w:pPr>
          </w:p>
          <w:p w14:paraId="5192EFE2" w14:textId="77777777" w:rsidR="00CB13BD" w:rsidRDefault="00CB13BD" w:rsidP="00EF1714">
            <w:pPr>
              <w:rPr>
                <w:b/>
              </w:rPr>
            </w:pPr>
          </w:p>
          <w:p w14:paraId="664B807B" w14:textId="69DB75AF" w:rsidR="00EF1714" w:rsidRPr="00887FF7" w:rsidRDefault="00EF1714" w:rsidP="00EF1714">
            <w:pPr>
              <w:rPr>
                <w:b/>
              </w:rPr>
            </w:pPr>
            <w:r>
              <w:rPr>
                <w:b/>
              </w:rPr>
              <w:t>Apologie</w:t>
            </w:r>
            <w:r w:rsidR="005B3040">
              <w:rPr>
                <w:b/>
              </w:rPr>
              <w:t>s</w:t>
            </w:r>
          </w:p>
        </w:tc>
        <w:tc>
          <w:tcPr>
            <w:tcW w:w="461" w:type="dxa"/>
          </w:tcPr>
          <w:p w14:paraId="6890EEAC" w14:textId="77777777" w:rsidR="00887FF7" w:rsidRDefault="00887FF7" w:rsidP="00A268B0">
            <w:r>
              <w:t>-</w:t>
            </w:r>
          </w:p>
          <w:p w14:paraId="216F072E" w14:textId="77777777" w:rsidR="00E03062" w:rsidRDefault="00E03062" w:rsidP="00A268B0">
            <w:r>
              <w:t>-</w:t>
            </w:r>
          </w:p>
          <w:p w14:paraId="39C4834D" w14:textId="142376DE" w:rsidR="00E03062" w:rsidRDefault="00E03062" w:rsidP="00A268B0">
            <w:r>
              <w:t>-</w:t>
            </w:r>
          </w:p>
          <w:p w14:paraId="2F93ECAE" w14:textId="77777777" w:rsidR="00CB13BD" w:rsidRDefault="00CB13BD" w:rsidP="00A268B0"/>
          <w:p w14:paraId="162FDCA5" w14:textId="4CA52DB8" w:rsidR="00E03062" w:rsidRDefault="00EC0AFB" w:rsidP="00A268B0">
            <w:r>
              <w:t>-</w:t>
            </w:r>
          </w:p>
          <w:p w14:paraId="32646F6B" w14:textId="3A4C509F" w:rsidR="00E03062" w:rsidRDefault="00CB13BD" w:rsidP="00A268B0">
            <w:r>
              <w:t>-</w:t>
            </w:r>
          </w:p>
          <w:p w14:paraId="70C2CC46" w14:textId="246A7A84" w:rsidR="00E03062" w:rsidRDefault="00E03062" w:rsidP="00A268B0">
            <w:r>
              <w:t>-</w:t>
            </w:r>
          </w:p>
          <w:p w14:paraId="5BD374A1" w14:textId="77777777" w:rsidR="00CB13BD" w:rsidRDefault="00CB13BD" w:rsidP="00EF1714">
            <w:r>
              <w:t xml:space="preserve"> </w:t>
            </w:r>
          </w:p>
          <w:p w14:paraId="0AC4492F" w14:textId="6005DBF0" w:rsidR="005B3040" w:rsidRDefault="005B3040" w:rsidP="00EF1714">
            <w:r>
              <w:t>-</w:t>
            </w:r>
          </w:p>
          <w:p w14:paraId="6C2CDEC1" w14:textId="657A13FF" w:rsidR="00613655" w:rsidRDefault="00613655" w:rsidP="00CB13BD"/>
          <w:p w14:paraId="07CC732D" w14:textId="77777777" w:rsidR="00CB13BD" w:rsidRDefault="00CB13BD" w:rsidP="00CB13BD">
            <w:r>
              <w:t>-</w:t>
            </w:r>
          </w:p>
          <w:p w14:paraId="3DD4FEA9" w14:textId="77777777" w:rsidR="008F57B0" w:rsidRDefault="008F57B0" w:rsidP="00CB13BD">
            <w:r>
              <w:t>-</w:t>
            </w:r>
          </w:p>
          <w:p w14:paraId="3E844875" w14:textId="77777777" w:rsidR="008F57B0" w:rsidRDefault="008F57B0" w:rsidP="00CB13BD">
            <w:r>
              <w:t>-</w:t>
            </w:r>
          </w:p>
          <w:p w14:paraId="798CCA65" w14:textId="73DC7583" w:rsidR="00F10ADB" w:rsidRDefault="00F10ADB" w:rsidP="00CB13BD">
            <w:r>
              <w:t>-</w:t>
            </w:r>
          </w:p>
        </w:tc>
        <w:tc>
          <w:tcPr>
            <w:tcW w:w="7095" w:type="dxa"/>
          </w:tcPr>
          <w:p w14:paraId="6AC715C1" w14:textId="2D932614" w:rsidR="00E03062" w:rsidRDefault="00E03062" w:rsidP="00E03062">
            <w:r>
              <w:t xml:space="preserve">MOH: </w:t>
            </w:r>
            <w:r w:rsidR="00CB13BD">
              <w:t>Len Tarivonda</w:t>
            </w:r>
            <w:r>
              <w:t xml:space="preserve"> (Director </w:t>
            </w:r>
            <w:r w:rsidR="00CB13BD">
              <w:t>Public Health</w:t>
            </w:r>
            <w:r>
              <w:t>)</w:t>
            </w:r>
          </w:p>
          <w:p w14:paraId="08B6F50E" w14:textId="263B87A9" w:rsidR="00CB13BD" w:rsidRDefault="00E03062" w:rsidP="00CB13BD">
            <w:r>
              <w:t xml:space="preserve">MOH: Wesley Donald (Coordinator, Malaria and Other VBD Control </w:t>
            </w:r>
            <w:r w:rsidRPr="00462FBE">
              <w:t>Program)</w:t>
            </w:r>
          </w:p>
          <w:p w14:paraId="58EA0C9E" w14:textId="77777777" w:rsidR="00CB13BD" w:rsidRDefault="00CB13BD" w:rsidP="00CB13BD"/>
          <w:p w14:paraId="66AFAA3D" w14:textId="6DE3D833" w:rsidR="00CB13BD" w:rsidRDefault="00CB13BD" w:rsidP="00CB13BD">
            <w:r>
              <w:t>RAM: Jenny Kerrison (National Manager)</w:t>
            </w:r>
          </w:p>
          <w:p w14:paraId="137AB4E3" w14:textId="77777777" w:rsidR="00F10ADB" w:rsidRDefault="00F10ADB" w:rsidP="00F10ADB">
            <w:r w:rsidRPr="00462FBE">
              <w:t>WHO:</w:t>
            </w:r>
            <w:r>
              <w:t xml:space="preserve"> </w:t>
            </w:r>
            <w:r w:rsidRPr="00462FBE">
              <w:t>Tessa Knox (Technical Officer, Malaria and Other</w:t>
            </w:r>
            <w:r>
              <w:t xml:space="preserve"> </w:t>
            </w:r>
            <w:r w:rsidRPr="00462FBE">
              <w:t xml:space="preserve">VBDs) </w:t>
            </w:r>
          </w:p>
          <w:p w14:paraId="44755B78" w14:textId="77777777" w:rsidR="00CB13BD" w:rsidRDefault="00CB13BD" w:rsidP="00613655">
            <w:r>
              <w:t xml:space="preserve">JCU: Tanya Russell (Senior Research Fellow) </w:t>
            </w:r>
          </w:p>
          <w:p w14:paraId="2105AD46" w14:textId="77777777" w:rsidR="00CB13BD" w:rsidRDefault="00CB13BD" w:rsidP="00CB13BD"/>
          <w:p w14:paraId="4912BB7F" w14:textId="1FBDF974" w:rsidR="00CB13BD" w:rsidRDefault="00CB13BD" w:rsidP="00CB13BD">
            <w:r>
              <w:t>MOH: Posikai Samuel Tapo (Director Corporate Services, Policy and Planning)</w:t>
            </w:r>
          </w:p>
          <w:p w14:paraId="29358C91" w14:textId="77777777" w:rsidR="00F10ADB" w:rsidRDefault="00F10ADB" w:rsidP="00F10ADB">
            <w:r>
              <w:t>CCM: Siula Bulu (Chair Vanuatu-CCM)</w:t>
            </w:r>
          </w:p>
          <w:p w14:paraId="674BF712" w14:textId="6DE90F87" w:rsidR="00CB13BD" w:rsidRPr="00F10ADB" w:rsidRDefault="00CB13BD" w:rsidP="00CB13BD">
            <w:r w:rsidRPr="00462FBE">
              <w:t xml:space="preserve">VHP: </w:t>
            </w:r>
            <w:r>
              <w:t>Geoff Clark</w:t>
            </w:r>
            <w:r w:rsidRPr="00462FBE">
              <w:t xml:space="preserve"> (Team </w:t>
            </w:r>
            <w:r w:rsidRPr="00F10ADB">
              <w:t>Lead)</w:t>
            </w:r>
          </w:p>
          <w:p w14:paraId="281AB747" w14:textId="77777777" w:rsidR="005B3040" w:rsidRPr="00F10ADB" w:rsidRDefault="00CB13BD" w:rsidP="00CB13BD">
            <w:r w:rsidRPr="00F10ADB">
              <w:t>UNDP: Gayane Tovmasyan (Regional Programme Manager)</w:t>
            </w:r>
          </w:p>
          <w:p w14:paraId="293D6B1F" w14:textId="004DB2FF" w:rsidR="008F57B0" w:rsidRDefault="008F57B0" w:rsidP="00CB13BD">
            <w:r w:rsidRPr="00F10ADB">
              <w:t xml:space="preserve">UNDP: Ranadi </w:t>
            </w:r>
            <w:r w:rsidR="00720FC6" w:rsidRPr="00F10ADB">
              <w:t xml:space="preserve">Levula </w:t>
            </w:r>
            <w:r w:rsidRPr="00F10ADB">
              <w:t>(</w:t>
            </w:r>
            <w:r w:rsidR="00F10ADB" w:rsidRPr="00F10ADB">
              <w:t>Monitoring and Evaluation Officer</w:t>
            </w:r>
            <w:r w:rsidRPr="00F10ADB">
              <w:t>)</w:t>
            </w:r>
          </w:p>
        </w:tc>
      </w:tr>
      <w:tr w:rsidR="00EF1714" w14:paraId="6EC5188F" w14:textId="77777777" w:rsidTr="000926E7">
        <w:tc>
          <w:tcPr>
            <w:tcW w:w="1794" w:type="dxa"/>
            <w:vMerge/>
          </w:tcPr>
          <w:p w14:paraId="137E8B29" w14:textId="77777777" w:rsidR="00EF1714" w:rsidRDefault="00EF1714" w:rsidP="00A268B0"/>
        </w:tc>
        <w:tc>
          <w:tcPr>
            <w:tcW w:w="461" w:type="dxa"/>
          </w:tcPr>
          <w:p w14:paraId="78AD6035" w14:textId="5A2E3AA6" w:rsidR="00613655" w:rsidRDefault="00613655" w:rsidP="00CB13BD"/>
        </w:tc>
        <w:tc>
          <w:tcPr>
            <w:tcW w:w="7095" w:type="dxa"/>
          </w:tcPr>
          <w:p w14:paraId="2E50D9ED" w14:textId="21557A92" w:rsidR="00613655" w:rsidRDefault="00613655" w:rsidP="00613655"/>
        </w:tc>
      </w:tr>
      <w:tr w:rsidR="00EF1714" w14:paraId="7C3626AD" w14:textId="77777777" w:rsidTr="000926E7">
        <w:tc>
          <w:tcPr>
            <w:tcW w:w="1794" w:type="dxa"/>
            <w:vMerge/>
          </w:tcPr>
          <w:p w14:paraId="1A4C2062" w14:textId="77777777" w:rsidR="00EF1714" w:rsidRDefault="00EF1714" w:rsidP="00A268B0"/>
        </w:tc>
        <w:tc>
          <w:tcPr>
            <w:tcW w:w="461" w:type="dxa"/>
          </w:tcPr>
          <w:p w14:paraId="758321F2" w14:textId="72EC009D" w:rsidR="00EF1714" w:rsidRDefault="00EF1714" w:rsidP="00A268B0"/>
        </w:tc>
        <w:tc>
          <w:tcPr>
            <w:tcW w:w="7095" w:type="dxa"/>
          </w:tcPr>
          <w:p w14:paraId="42BA32A8" w14:textId="58348C02" w:rsidR="00EF1714" w:rsidRDefault="00EF1714" w:rsidP="00EF1714"/>
        </w:tc>
      </w:tr>
      <w:tr w:rsidR="00EF1714" w14:paraId="48B21479" w14:textId="77777777" w:rsidTr="000926E7">
        <w:tc>
          <w:tcPr>
            <w:tcW w:w="1794" w:type="dxa"/>
          </w:tcPr>
          <w:p w14:paraId="0E420C96" w14:textId="77777777" w:rsidR="00EF1714" w:rsidRPr="004E4589" w:rsidRDefault="00EF1714" w:rsidP="00EF1714">
            <w:pPr>
              <w:rPr>
                <w:b/>
              </w:rPr>
            </w:pPr>
            <w:r w:rsidRPr="004E4589">
              <w:rPr>
                <w:b/>
              </w:rPr>
              <w:t>Agenda</w:t>
            </w:r>
          </w:p>
        </w:tc>
        <w:tc>
          <w:tcPr>
            <w:tcW w:w="461" w:type="dxa"/>
          </w:tcPr>
          <w:p w14:paraId="48E805AD" w14:textId="77777777" w:rsidR="00EF1714" w:rsidRDefault="00EF1714" w:rsidP="00EF1714">
            <w:r>
              <w:t>(1)</w:t>
            </w:r>
          </w:p>
          <w:p w14:paraId="082E9465" w14:textId="38A3A9AC" w:rsidR="00EF1714" w:rsidRDefault="00EF1714" w:rsidP="00EF1714">
            <w:r>
              <w:t>(2)</w:t>
            </w:r>
          </w:p>
          <w:p w14:paraId="7DFF924C" w14:textId="77777777" w:rsidR="00EF1714" w:rsidRDefault="00EF1714" w:rsidP="00EF1714">
            <w:r>
              <w:t>(3)</w:t>
            </w:r>
          </w:p>
          <w:p w14:paraId="4A3DEA88" w14:textId="77777777" w:rsidR="008F57B0" w:rsidRDefault="00EF1714" w:rsidP="008F57B0">
            <w:r>
              <w:t>(4)</w:t>
            </w:r>
          </w:p>
          <w:p w14:paraId="16E997C2" w14:textId="38D77320" w:rsidR="001E53BF" w:rsidRDefault="001E53BF" w:rsidP="008F57B0">
            <w:r>
              <w:t>(5)</w:t>
            </w:r>
          </w:p>
        </w:tc>
        <w:tc>
          <w:tcPr>
            <w:tcW w:w="7095" w:type="dxa"/>
          </w:tcPr>
          <w:p w14:paraId="1E0ECC56" w14:textId="38C1B604" w:rsidR="001E53BF" w:rsidRDefault="008F57B0" w:rsidP="008F57B0">
            <w:r>
              <w:t>Update on progress against malaria [Wesley]</w:t>
            </w:r>
          </w:p>
          <w:p w14:paraId="4752CCCA" w14:textId="6AD8E67A" w:rsidR="008F57B0" w:rsidRDefault="008F57B0" w:rsidP="008F57B0">
            <w:r>
              <w:t>Planning for 2021 [Wesley]</w:t>
            </w:r>
          </w:p>
          <w:p w14:paraId="31A9893E" w14:textId="77777777" w:rsidR="008F57B0" w:rsidRDefault="008F57B0" w:rsidP="008F57B0">
            <w:r>
              <w:t>Status of Global Rotary Grant for 2021 [Jenny]</w:t>
            </w:r>
          </w:p>
          <w:p w14:paraId="7C79D4FE" w14:textId="77777777" w:rsidR="008F57B0" w:rsidRDefault="008F57B0" w:rsidP="008F57B0">
            <w:r>
              <w:t>WHO technical assistance for 2021 [Tessa]</w:t>
            </w:r>
          </w:p>
          <w:p w14:paraId="1A6FA8F9" w14:textId="0B37F2D0" w:rsidR="00343280" w:rsidRDefault="008F57B0" w:rsidP="008F57B0">
            <w:r>
              <w:t xml:space="preserve">AOB </w:t>
            </w:r>
          </w:p>
        </w:tc>
      </w:tr>
    </w:tbl>
    <w:p w14:paraId="689D4478" w14:textId="31D2C6B0" w:rsidR="00887FF7" w:rsidRDefault="004E4589" w:rsidP="004E4589">
      <w:pPr>
        <w:pStyle w:val="Heading1"/>
        <w:rPr>
          <w:color w:val="4EA6DC" w:themeColor="accent3"/>
        </w:rPr>
      </w:pPr>
      <w:r w:rsidRPr="00FB5425">
        <w:rPr>
          <w:color w:val="4EA6DC" w:themeColor="accent3"/>
        </w:rPr>
        <w:t>Discussion and action points:</w:t>
      </w:r>
    </w:p>
    <w:p w14:paraId="3E9A59D4" w14:textId="6DF51C03" w:rsidR="00255F3A" w:rsidRDefault="00255F3A" w:rsidP="00255F3A">
      <w:r w:rsidRPr="00D97289">
        <w:rPr>
          <w:b/>
        </w:rPr>
        <w:t>M</w:t>
      </w:r>
      <w:r>
        <w:rPr>
          <w:b/>
        </w:rPr>
        <w:t>eeting start</w:t>
      </w:r>
      <w:r w:rsidRPr="00D97289">
        <w:rPr>
          <w:b/>
        </w:rPr>
        <w:t>:</w:t>
      </w:r>
      <w:r>
        <w:t xml:space="preserve"> </w:t>
      </w:r>
      <w:r w:rsidR="008F57B0">
        <w:t>09:00 am</w:t>
      </w:r>
    </w:p>
    <w:tbl>
      <w:tblPr>
        <w:tblStyle w:val="ListTable6Colorful-Accent3"/>
        <w:tblW w:w="0" w:type="auto"/>
        <w:tblLook w:val="04A0" w:firstRow="1" w:lastRow="0" w:firstColumn="1" w:lastColumn="0" w:noHBand="0" w:noVBand="1"/>
      </w:tblPr>
      <w:tblGrid>
        <w:gridCol w:w="910"/>
        <w:gridCol w:w="6745"/>
        <w:gridCol w:w="1705"/>
      </w:tblGrid>
      <w:tr w:rsidR="002B19C3" w:rsidRPr="00FB5425" w14:paraId="2B96278C" w14:textId="77777777" w:rsidTr="00E161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2BC0F553" w14:textId="354B3EB8" w:rsidR="00EF40D6" w:rsidRPr="00255F3A" w:rsidRDefault="00ED34FD" w:rsidP="00EF40D6">
            <w:pPr>
              <w:jc w:val="center"/>
              <w:rPr>
                <w:color w:val="auto"/>
              </w:rPr>
            </w:pPr>
            <w:r w:rsidRPr="00255F3A">
              <w:rPr>
                <w:color w:val="auto"/>
              </w:rPr>
              <w:t>Agenda item</w:t>
            </w:r>
          </w:p>
        </w:tc>
        <w:tc>
          <w:tcPr>
            <w:tcW w:w="6745" w:type="dxa"/>
          </w:tcPr>
          <w:p w14:paraId="2DE0C643" w14:textId="77777777" w:rsidR="00EF40D6" w:rsidRPr="00255F3A" w:rsidRDefault="00EF40D6" w:rsidP="00EF40D6">
            <w:pPr>
              <w:jc w:val="center"/>
              <w:cnfStyle w:val="100000000000" w:firstRow="1" w:lastRow="0" w:firstColumn="0" w:lastColumn="0" w:oddVBand="0" w:evenVBand="0" w:oddHBand="0" w:evenHBand="0" w:firstRowFirstColumn="0" w:firstRowLastColumn="0" w:lastRowFirstColumn="0" w:lastRowLastColumn="0"/>
              <w:rPr>
                <w:color w:val="auto"/>
              </w:rPr>
            </w:pPr>
            <w:r w:rsidRPr="00255F3A">
              <w:rPr>
                <w:color w:val="auto"/>
              </w:rPr>
              <w:t>Discussion points</w:t>
            </w:r>
          </w:p>
          <w:p w14:paraId="24903DCE" w14:textId="38EB1711" w:rsidR="00B53D78" w:rsidRPr="00255F3A" w:rsidRDefault="00B53D78" w:rsidP="00EF40D6">
            <w:pPr>
              <w:jc w:val="center"/>
              <w:cnfStyle w:val="100000000000" w:firstRow="1" w:lastRow="0" w:firstColumn="0" w:lastColumn="0" w:oddVBand="0" w:evenVBand="0" w:oddHBand="0" w:evenHBand="0" w:firstRowFirstColumn="0" w:firstRowLastColumn="0" w:lastRowFirstColumn="0" w:lastRowLastColumn="0"/>
              <w:rPr>
                <w:color w:val="auto"/>
              </w:rPr>
            </w:pPr>
          </w:p>
        </w:tc>
        <w:tc>
          <w:tcPr>
            <w:tcW w:w="1705" w:type="dxa"/>
          </w:tcPr>
          <w:p w14:paraId="4C9FDAB5" w14:textId="62F385B6" w:rsidR="00EF40D6" w:rsidRPr="00255F3A" w:rsidRDefault="00EF40D6" w:rsidP="00EF40D6">
            <w:pPr>
              <w:jc w:val="center"/>
              <w:cnfStyle w:val="100000000000" w:firstRow="1" w:lastRow="0" w:firstColumn="0" w:lastColumn="0" w:oddVBand="0" w:evenVBand="0" w:oddHBand="0" w:evenHBand="0" w:firstRowFirstColumn="0" w:firstRowLastColumn="0" w:lastRowFirstColumn="0" w:lastRowLastColumn="0"/>
              <w:rPr>
                <w:color w:val="auto"/>
              </w:rPr>
            </w:pPr>
            <w:r w:rsidRPr="00255F3A">
              <w:rPr>
                <w:color w:val="auto"/>
              </w:rPr>
              <w:t>Action points</w:t>
            </w:r>
          </w:p>
        </w:tc>
      </w:tr>
      <w:tr w:rsidR="002B19C3" w:rsidRPr="00FB5425" w14:paraId="1CB5C698" w14:textId="77777777" w:rsidTr="00E1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298924A" w14:textId="079AFEDA" w:rsidR="00F91DCD" w:rsidRPr="00F91DCD" w:rsidRDefault="00F91DCD" w:rsidP="00F91DCD">
            <w:pPr>
              <w:rPr>
                <w:color w:val="auto"/>
              </w:rPr>
            </w:pPr>
            <w:r w:rsidRPr="00F91DCD">
              <w:rPr>
                <w:color w:val="auto"/>
              </w:rPr>
              <w:t>Open</w:t>
            </w:r>
          </w:p>
        </w:tc>
        <w:tc>
          <w:tcPr>
            <w:tcW w:w="6745" w:type="dxa"/>
          </w:tcPr>
          <w:p w14:paraId="0E85A66F" w14:textId="1F667A50" w:rsidR="00F10ADB" w:rsidRPr="00F10ADB" w:rsidRDefault="008F57B0" w:rsidP="00F10ADB">
            <w:pPr>
              <w:cnfStyle w:val="000000100000" w:firstRow="0" w:lastRow="0" w:firstColumn="0" w:lastColumn="0" w:oddVBand="0" w:evenVBand="0" w:oddHBand="1" w:evenHBand="0" w:firstRowFirstColumn="0" w:firstRowLastColumn="0" w:lastRowFirstColumn="0" w:lastRowLastColumn="0"/>
              <w:rPr>
                <w:color w:val="auto"/>
              </w:rPr>
            </w:pPr>
            <w:r w:rsidRPr="00F10ADB">
              <w:rPr>
                <w:color w:val="auto"/>
              </w:rPr>
              <w:t>Coordinator of Malaria and Other Vector Borne Diseases Control Program</w:t>
            </w:r>
            <w:r w:rsidR="00F10ADB">
              <w:rPr>
                <w:color w:val="auto"/>
              </w:rPr>
              <w:t xml:space="preserve"> (VBDCP)</w:t>
            </w:r>
            <w:r w:rsidRPr="00F10ADB">
              <w:rPr>
                <w:color w:val="auto"/>
              </w:rPr>
              <w:t xml:space="preserve"> </w:t>
            </w:r>
            <w:r w:rsidR="00F91DCD" w:rsidRPr="00F10ADB">
              <w:rPr>
                <w:color w:val="auto"/>
              </w:rPr>
              <w:t>opened the meeting and welcomed attendees</w:t>
            </w:r>
            <w:r w:rsidRPr="00F10ADB">
              <w:rPr>
                <w:color w:val="auto"/>
              </w:rPr>
              <w:t xml:space="preserve">. </w:t>
            </w:r>
          </w:p>
          <w:p w14:paraId="0230CC7F" w14:textId="40D99C95" w:rsidR="008F57B0" w:rsidRPr="00F10ADB" w:rsidRDefault="00F10ADB" w:rsidP="00F10ADB">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color w:val="auto"/>
              </w:rPr>
            </w:pPr>
            <w:r w:rsidRPr="00F10ADB">
              <w:rPr>
                <w:color w:val="auto"/>
              </w:rPr>
              <w:t xml:space="preserve">Apologies were given, especially by UNDP colleagues in Suva who could not attend due to the imminent threat of Tropical Cyclone </w:t>
            </w:r>
            <w:proofErr w:type="spellStart"/>
            <w:r w:rsidRPr="00F10ADB">
              <w:rPr>
                <w:color w:val="auto"/>
              </w:rPr>
              <w:t>Yasa</w:t>
            </w:r>
            <w:proofErr w:type="spellEnd"/>
            <w:r w:rsidRPr="00F10ADB">
              <w:rPr>
                <w:color w:val="auto"/>
              </w:rPr>
              <w:t>.</w:t>
            </w:r>
          </w:p>
        </w:tc>
        <w:tc>
          <w:tcPr>
            <w:tcW w:w="1705" w:type="dxa"/>
          </w:tcPr>
          <w:p w14:paraId="2521CCAD" w14:textId="39778537" w:rsidR="00F91DCD" w:rsidRPr="00255F3A" w:rsidRDefault="00772DB6" w:rsidP="00772DB6">
            <w:pPr>
              <w:cnfStyle w:val="000000100000" w:firstRow="0" w:lastRow="0" w:firstColumn="0" w:lastColumn="0" w:oddVBand="0" w:evenVBand="0" w:oddHBand="1" w:evenHBand="0" w:firstRowFirstColumn="0" w:firstRowLastColumn="0" w:lastRowFirstColumn="0" w:lastRowLastColumn="0"/>
            </w:pPr>
            <w:r w:rsidRPr="00772DB6">
              <w:rPr>
                <w:color w:val="auto"/>
              </w:rPr>
              <w:t>Meeting notes to be circulated to all members – MOH/WHO</w:t>
            </w:r>
          </w:p>
        </w:tc>
      </w:tr>
      <w:tr w:rsidR="002B19C3" w:rsidRPr="00FB5425" w14:paraId="1A9BE5B5" w14:textId="77777777" w:rsidTr="00E161DB">
        <w:tc>
          <w:tcPr>
            <w:cnfStyle w:val="001000000000" w:firstRow="0" w:lastRow="0" w:firstColumn="1" w:lastColumn="0" w:oddVBand="0" w:evenVBand="0" w:oddHBand="0" w:evenHBand="0" w:firstRowFirstColumn="0" w:firstRowLastColumn="0" w:lastRowFirstColumn="0" w:lastRowLastColumn="0"/>
            <w:tcW w:w="910" w:type="dxa"/>
          </w:tcPr>
          <w:p w14:paraId="559305F5" w14:textId="12ED75FA" w:rsidR="00F91DCD" w:rsidRPr="00F91DCD" w:rsidRDefault="00F91DCD" w:rsidP="00F91DCD">
            <w:pPr>
              <w:rPr>
                <w:color w:val="auto"/>
              </w:rPr>
            </w:pPr>
            <w:r w:rsidRPr="00F91DCD">
              <w:rPr>
                <w:color w:val="auto"/>
              </w:rPr>
              <w:t>#1</w:t>
            </w:r>
          </w:p>
          <w:p w14:paraId="79C5A814" w14:textId="77777777" w:rsidR="00A46CBC" w:rsidRPr="00B85BD2" w:rsidRDefault="00A46CBC" w:rsidP="003267C6">
            <w:pPr>
              <w:rPr>
                <w:color w:val="auto"/>
              </w:rPr>
            </w:pPr>
          </w:p>
        </w:tc>
        <w:tc>
          <w:tcPr>
            <w:tcW w:w="6745" w:type="dxa"/>
          </w:tcPr>
          <w:p w14:paraId="7FD17230" w14:textId="418A248E" w:rsidR="001E53BF" w:rsidRPr="001E53BF" w:rsidRDefault="001E53BF" w:rsidP="001E53BF">
            <w:pPr>
              <w:cnfStyle w:val="000000000000" w:firstRow="0" w:lastRow="0" w:firstColumn="0" w:lastColumn="0" w:oddVBand="0" w:evenVBand="0" w:oddHBand="0" w:evenHBand="0" w:firstRowFirstColumn="0" w:firstRowLastColumn="0" w:lastRowFirstColumn="0" w:lastRowLastColumn="0"/>
              <w:rPr>
                <w:color w:val="auto"/>
              </w:rPr>
            </w:pPr>
            <w:r w:rsidRPr="00F10ADB">
              <w:rPr>
                <w:color w:val="auto"/>
              </w:rPr>
              <w:t>MOH Coordinator of Malaria and Other Vector Borne Diseases Control Program (</w:t>
            </w:r>
            <w:r w:rsidRPr="001E53BF">
              <w:rPr>
                <w:color w:val="auto"/>
              </w:rPr>
              <w:t>MOVBDCP) issued a presentation</w:t>
            </w:r>
            <w:r w:rsidR="00033F11">
              <w:rPr>
                <w:color w:val="auto"/>
              </w:rPr>
              <w:t xml:space="preserve"> on malaria progress and achievements in 2020,</w:t>
            </w:r>
            <w:r w:rsidRPr="001E53BF">
              <w:rPr>
                <w:color w:val="auto"/>
              </w:rPr>
              <w:t xml:space="preserve"> as summarized below: </w:t>
            </w:r>
          </w:p>
          <w:p w14:paraId="5D404EFF" w14:textId="7710BAF0" w:rsidR="00033F11" w:rsidRDefault="00033F11" w:rsidP="007D047D">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color w:val="auto"/>
              </w:rPr>
            </w:pPr>
            <w:r>
              <w:rPr>
                <w:i/>
                <w:color w:val="auto"/>
              </w:rPr>
              <w:lastRenderedPageBreak/>
              <w:t xml:space="preserve">Vector control: </w:t>
            </w:r>
            <w:r w:rsidRPr="00033F11">
              <w:rPr>
                <w:color w:val="auto"/>
              </w:rPr>
              <w:t xml:space="preserve">LLIN distributions proceeded as planned. Additional distributions conducted in TC Harold-affected health zones. </w:t>
            </w:r>
            <w:r>
              <w:rPr>
                <w:color w:val="auto"/>
              </w:rPr>
              <w:t>T</w:t>
            </w:r>
            <w:r w:rsidRPr="00033F11">
              <w:rPr>
                <w:color w:val="auto"/>
              </w:rPr>
              <w:t>arget of 92,775 LLINs has been exceeded, with 130,155 LLINs distributed in 2020</w:t>
            </w:r>
            <w:r>
              <w:rPr>
                <w:color w:val="auto"/>
              </w:rPr>
              <w:t xml:space="preserve">. Final activities in Shefa province to be completed next week. </w:t>
            </w:r>
          </w:p>
          <w:p w14:paraId="43214B47" w14:textId="7C5B6D0C" w:rsidR="00033F11" w:rsidRDefault="00033F11" w:rsidP="007D047D">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color w:val="auto"/>
              </w:rPr>
            </w:pPr>
            <w:r>
              <w:rPr>
                <w:i/>
                <w:color w:val="auto"/>
              </w:rPr>
              <w:t>Entomological surveillance:</w:t>
            </w:r>
            <w:r>
              <w:rPr>
                <w:color w:val="auto"/>
              </w:rPr>
              <w:t xml:space="preserve"> Human landing catch and insecticide resistance testing conducted in </w:t>
            </w:r>
            <w:proofErr w:type="spellStart"/>
            <w:r>
              <w:rPr>
                <w:color w:val="auto"/>
              </w:rPr>
              <w:t>Sanma</w:t>
            </w:r>
            <w:proofErr w:type="spellEnd"/>
            <w:r>
              <w:rPr>
                <w:color w:val="auto"/>
              </w:rPr>
              <w:t xml:space="preserve"> (</w:t>
            </w:r>
            <w:proofErr w:type="spellStart"/>
            <w:r>
              <w:rPr>
                <w:color w:val="auto"/>
              </w:rPr>
              <w:t>Malau</w:t>
            </w:r>
            <w:proofErr w:type="spellEnd"/>
            <w:r>
              <w:rPr>
                <w:color w:val="auto"/>
              </w:rPr>
              <w:t xml:space="preserve"> and </w:t>
            </w:r>
            <w:proofErr w:type="spellStart"/>
            <w:r>
              <w:rPr>
                <w:color w:val="auto"/>
              </w:rPr>
              <w:t>Tolomako</w:t>
            </w:r>
            <w:proofErr w:type="spellEnd"/>
            <w:r>
              <w:rPr>
                <w:color w:val="auto"/>
              </w:rPr>
              <w:t xml:space="preserve">) and </w:t>
            </w:r>
            <w:proofErr w:type="spellStart"/>
            <w:r>
              <w:rPr>
                <w:color w:val="auto"/>
              </w:rPr>
              <w:t>Shefa</w:t>
            </w:r>
            <w:proofErr w:type="spellEnd"/>
            <w:r>
              <w:rPr>
                <w:color w:val="auto"/>
              </w:rPr>
              <w:t xml:space="preserve"> (</w:t>
            </w:r>
            <w:proofErr w:type="spellStart"/>
            <w:r>
              <w:rPr>
                <w:color w:val="auto"/>
              </w:rPr>
              <w:t>Lamen</w:t>
            </w:r>
            <w:proofErr w:type="spellEnd"/>
            <w:r>
              <w:rPr>
                <w:color w:val="auto"/>
              </w:rPr>
              <w:t xml:space="preserve"> Bay). No insecticide resistance detected. </w:t>
            </w:r>
          </w:p>
          <w:p w14:paraId="5A736722" w14:textId="4F291B7F" w:rsidR="00033F11" w:rsidRDefault="00033F11" w:rsidP="007D047D">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color w:val="auto"/>
              </w:rPr>
            </w:pPr>
            <w:r>
              <w:rPr>
                <w:i/>
                <w:color w:val="auto"/>
              </w:rPr>
              <w:t>Diagnosis and treatment:</w:t>
            </w:r>
            <w:r>
              <w:rPr>
                <w:color w:val="auto"/>
              </w:rPr>
              <w:t xml:space="preserve"> Case management training conducted in Torba for all health workers and in Malampa and Sanma with targeted one-on-one training. Training in other provinces constrained by availability of funds. </w:t>
            </w:r>
          </w:p>
          <w:p w14:paraId="0D271659" w14:textId="1D9DB1E0" w:rsidR="00033F11" w:rsidRDefault="00033F11" w:rsidP="007D047D">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color w:val="auto"/>
              </w:rPr>
            </w:pPr>
            <w:r w:rsidRPr="00033F11">
              <w:rPr>
                <w:i/>
                <w:color w:val="auto"/>
              </w:rPr>
              <w:t>Surveillance, monitoring and evaluation</w:t>
            </w:r>
            <w:r>
              <w:rPr>
                <w:color w:val="auto"/>
              </w:rPr>
              <w:t xml:space="preserve">: case investigations and active foci investigations conducted in Shefa, Samna and Malampa for at least 90% cases/foci. Challenges include competing priorities of provincial surveillance officers, limited access to recurrent budget, and continuous delays with case investigations. Data currently in DHIS-2 indicate 496 confirmed cases (API 1.6) although </w:t>
            </w:r>
            <w:r w:rsidR="00685EB8">
              <w:rPr>
                <w:color w:val="auto"/>
              </w:rPr>
              <w:t xml:space="preserve">further data entries for Q4 and </w:t>
            </w:r>
            <w:r>
              <w:rPr>
                <w:color w:val="auto"/>
              </w:rPr>
              <w:t>data verification and validation</w:t>
            </w:r>
            <w:r w:rsidR="00685EB8">
              <w:rPr>
                <w:color w:val="auto"/>
              </w:rPr>
              <w:t xml:space="preserve"> are</w:t>
            </w:r>
            <w:r>
              <w:rPr>
                <w:color w:val="auto"/>
              </w:rPr>
              <w:t xml:space="preserve"> pending</w:t>
            </w:r>
            <w:r w:rsidR="00685EB8">
              <w:rPr>
                <w:color w:val="auto"/>
              </w:rPr>
              <w:t xml:space="preserve">; </w:t>
            </w:r>
            <w:r>
              <w:rPr>
                <w:color w:val="auto"/>
              </w:rPr>
              <w:t xml:space="preserve">some double-entries and potential relapses </w:t>
            </w:r>
            <w:r w:rsidR="00685EB8">
              <w:rPr>
                <w:color w:val="auto"/>
              </w:rPr>
              <w:t xml:space="preserve">have been </w:t>
            </w:r>
            <w:r>
              <w:rPr>
                <w:color w:val="auto"/>
              </w:rPr>
              <w:t xml:space="preserve">noted. </w:t>
            </w:r>
          </w:p>
          <w:p w14:paraId="7E28D981" w14:textId="4F135E03" w:rsidR="007E7D8C" w:rsidRDefault="00685EB8" w:rsidP="00B10D93">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color w:val="auto"/>
              </w:rPr>
            </w:pPr>
            <w:r w:rsidRPr="00685EB8">
              <w:rPr>
                <w:i/>
                <w:color w:val="auto"/>
              </w:rPr>
              <w:t>Communication and advocacy</w:t>
            </w:r>
            <w:r>
              <w:rPr>
                <w:color w:val="auto"/>
              </w:rPr>
              <w:t xml:space="preserve">: activities have included stakeholder meetings (including Provincial Health Manager, Area Secretary and Administrator), community awareness by health workers, and malaria elimination information provided to the community. </w:t>
            </w:r>
            <w:r w:rsidR="007E7D8C" w:rsidRPr="00F10ADB">
              <w:rPr>
                <w:color w:val="auto"/>
              </w:rPr>
              <w:t>RAM was acknowledged for their</w:t>
            </w:r>
            <w:r>
              <w:rPr>
                <w:color w:val="auto"/>
              </w:rPr>
              <w:t xml:space="preserve"> essential financial support to these activities. </w:t>
            </w:r>
          </w:p>
          <w:p w14:paraId="350A6C56" w14:textId="6B1BB315" w:rsidR="00685EB8" w:rsidRDefault="00685EB8" w:rsidP="00B10D93">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color w:val="auto"/>
              </w:rPr>
            </w:pPr>
            <w:r>
              <w:rPr>
                <w:i/>
                <w:color w:val="auto"/>
              </w:rPr>
              <w:t>Procurement and supply chain management</w:t>
            </w:r>
            <w:r w:rsidRPr="00685EB8">
              <w:rPr>
                <w:color w:val="auto"/>
              </w:rPr>
              <w:t>:</w:t>
            </w:r>
            <w:r>
              <w:rPr>
                <w:color w:val="auto"/>
              </w:rPr>
              <w:t xml:space="preserve"> undertook commodity procurement for LLINs, ACTs, RDTs, primaquine and G6PD, stock monitoring including through supervisory visits, and asset procurement for vehicles. Support of UNDP, CMS and RAM was gratefully acknowledged. Also procured IRS equipment and supplies through funding to TC Harold response. Support of WHO and Australian Government acknowledged. </w:t>
            </w:r>
          </w:p>
          <w:p w14:paraId="0B41A7A9" w14:textId="1D88390A" w:rsidR="00685EB8" w:rsidRPr="00F10ADB" w:rsidRDefault="00685EB8" w:rsidP="00B10D93">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color w:val="auto"/>
              </w:rPr>
            </w:pPr>
            <w:r>
              <w:rPr>
                <w:i/>
                <w:color w:val="auto"/>
              </w:rPr>
              <w:t>Program management</w:t>
            </w:r>
            <w:r w:rsidRPr="00685EB8">
              <w:rPr>
                <w:color w:val="auto"/>
              </w:rPr>
              <w:t>:</w:t>
            </w:r>
            <w:r>
              <w:rPr>
                <w:color w:val="auto"/>
              </w:rPr>
              <w:t xml:space="preserve"> Activities focused on: human resource mobilization and recruitments; provincial activity planning and budgeting; reporting on performance against annual indicators and targets; planning for implementation of the new NSPME; new activities such as for re-initiation of IRS; strengthening partnerships for malaria elimination. </w:t>
            </w:r>
          </w:p>
          <w:p w14:paraId="0097C150" w14:textId="77777777" w:rsidR="00E96206" w:rsidRDefault="00E96206" w:rsidP="00F10ADB">
            <w:pPr>
              <w:cnfStyle w:val="000000000000" w:firstRow="0" w:lastRow="0" w:firstColumn="0" w:lastColumn="0" w:oddVBand="0" w:evenVBand="0" w:oddHBand="0" w:evenHBand="0" w:firstRowFirstColumn="0" w:firstRowLastColumn="0" w:lastRowFirstColumn="0" w:lastRowLastColumn="0"/>
              <w:rPr>
                <w:color w:val="auto"/>
              </w:rPr>
            </w:pPr>
          </w:p>
          <w:p w14:paraId="53CCAC3B" w14:textId="77777777" w:rsidR="00685EB8" w:rsidRDefault="00F10ADB" w:rsidP="00F10ADB">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Coordinator of VBDCP indicated that the major challenges in 2020 had included: </w:t>
            </w:r>
          </w:p>
          <w:p w14:paraId="466C9E63" w14:textId="77777777" w:rsidR="006F4BAC" w:rsidRDefault="00685EB8" w:rsidP="00685EB8">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color w:val="auto"/>
              </w:rPr>
            </w:pPr>
            <w:r>
              <w:rPr>
                <w:color w:val="auto"/>
              </w:rPr>
              <w:t>R</w:t>
            </w:r>
            <w:r w:rsidR="00F10ADB" w:rsidRPr="00685EB8">
              <w:rPr>
                <w:color w:val="auto"/>
              </w:rPr>
              <w:t>e-</w:t>
            </w:r>
            <w:proofErr w:type="spellStart"/>
            <w:r w:rsidR="00F10ADB" w:rsidRPr="00685EB8">
              <w:rPr>
                <w:color w:val="auto"/>
              </w:rPr>
              <w:t>prioritisation</w:t>
            </w:r>
            <w:proofErr w:type="spellEnd"/>
            <w:r w:rsidR="00F10ADB" w:rsidRPr="00685EB8">
              <w:rPr>
                <w:color w:val="auto"/>
              </w:rPr>
              <w:t xml:space="preserve"> of activities due to COVID-19 preparedness and TC Harold response</w:t>
            </w:r>
          </w:p>
          <w:p w14:paraId="7DC4B121" w14:textId="421F2C91" w:rsidR="006F4BAC" w:rsidRDefault="006F4BAC" w:rsidP="00685EB8">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color w:val="auto"/>
              </w:rPr>
            </w:pPr>
            <w:r>
              <w:rPr>
                <w:color w:val="auto"/>
              </w:rPr>
              <w:t>Lack of provincial leadership due to vacancy of Provincial Malaria Supervisor positions in 4 of 6 provinces and general understaffing</w:t>
            </w:r>
          </w:p>
          <w:p w14:paraId="40FD9F33" w14:textId="5230C050" w:rsidR="006F4BAC" w:rsidRDefault="006F4BAC" w:rsidP="00685EB8">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color w:val="auto"/>
              </w:rPr>
            </w:pPr>
            <w:r>
              <w:rPr>
                <w:color w:val="auto"/>
              </w:rPr>
              <w:t>Continuous lengthy recruitment processes</w:t>
            </w:r>
          </w:p>
          <w:p w14:paraId="3B6A0369" w14:textId="3EDFF6B4" w:rsidR="006F4BAC" w:rsidRDefault="006F4BAC" w:rsidP="00685EB8">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color w:val="auto"/>
              </w:rPr>
            </w:pPr>
            <w:r>
              <w:rPr>
                <w:color w:val="auto"/>
              </w:rPr>
              <w:lastRenderedPageBreak/>
              <w:t>Constraints in access to recurrent funds due to monthly overdraft (</w:t>
            </w:r>
            <w:proofErr w:type="spellStart"/>
            <w:r>
              <w:rPr>
                <w:color w:val="auto"/>
              </w:rPr>
              <w:t>eg</w:t>
            </w:r>
            <w:proofErr w:type="spellEnd"/>
            <w:r>
              <w:rPr>
                <w:color w:val="auto"/>
              </w:rPr>
              <w:t>. for case management training, case investigation operations)</w:t>
            </w:r>
          </w:p>
          <w:p w14:paraId="31083115" w14:textId="326DD9BF" w:rsidR="006F4BAC" w:rsidRDefault="006F4BAC" w:rsidP="00685EB8">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color w:val="auto"/>
              </w:rPr>
            </w:pPr>
            <w:r>
              <w:rPr>
                <w:color w:val="auto"/>
              </w:rPr>
              <w:t>Limited availability of logistics support to conduct timely response to cases</w:t>
            </w:r>
          </w:p>
          <w:p w14:paraId="3B4751AC" w14:textId="7E681D60" w:rsidR="006F4BAC" w:rsidRDefault="006F4BAC" w:rsidP="00685EB8">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color w:val="auto"/>
              </w:rPr>
            </w:pPr>
            <w:r>
              <w:rPr>
                <w:color w:val="auto"/>
              </w:rPr>
              <w:t>Lack of alignment of public health priorities in provincial programs</w:t>
            </w:r>
          </w:p>
          <w:p w14:paraId="4064E5B6" w14:textId="3815F4C1" w:rsidR="00F10ADB" w:rsidRDefault="006F4BAC" w:rsidP="006F4BAC">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color w:val="auto"/>
              </w:rPr>
            </w:pPr>
            <w:r>
              <w:rPr>
                <w:color w:val="auto"/>
              </w:rPr>
              <w:t>Weather conditions that interrupted LLIN distributions and supervisory visits</w:t>
            </w:r>
          </w:p>
          <w:p w14:paraId="3D5B5533" w14:textId="77777777" w:rsidR="006F4BAC" w:rsidRDefault="006F4BAC" w:rsidP="006F4BAC">
            <w:pPr>
              <w:pStyle w:val="ListParagraph"/>
              <w:ind w:left="360"/>
              <w:cnfStyle w:val="000000000000" w:firstRow="0" w:lastRow="0" w:firstColumn="0" w:lastColumn="0" w:oddVBand="0" w:evenVBand="0" w:oddHBand="0" w:evenHBand="0" w:firstRowFirstColumn="0" w:firstRowLastColumn="0" w:lastRowFirstColumn="0" w:lastRowLastColumn="0"/>
              <w:rPr>
                <w:color w:val="auto"/>
              </w:rPr>
            </w:pPr>
          </w:p>
          <w:p w14:paraId="524BF3D5" w14:textId="57339633" w:rsidR="00F10ADB" w:rsidRDefault="00F10ADB" w:rsidP="00F10ADB">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WHO Technical Officer noted the number of </w:t>
            </w:r>
            <w:r w:rsidR="003C18AC">
              <w:rPr>
                <w:color w:val="auto"/>
              </w:rPr>
              <w:t xml:space="preserve">malaria </w:t>
            </w:r>
            <w:r>
              <w:rPr>
                <w:color w:val="auto"/>
              </w:rPr>
              <w:t xml:space="preserve">cases recorded thus far for 2020 (n=498) </w:t>
            </w:r>
            <w:r w:rsidR="003C18AC">
              <w:rPr>
                <w:color w:val="auto"/>
              </w:rPr>
              <w:t>considering:</w:t>
            </w:r>
            <w:r>
              <w:rPr>
                <w:color w:val="auto"/>
              </w:rPr>
              <w:t xml:space="preserve"> a) </w:t>
            </w:r>
            <w:r w:rsidR="003C18AC">
              <w:rPr>
                <w:color w:val="auto"/>
              </w:rPr>
              <w:t xml:space="preserve">the 2020 MOH </w:t>
            </w:r>
            <w:r>
              <w:rPr>
                <w:color w:val="auto"/>
              </w:rPr>
              <w:t>strategic target of &lt;300 cases</w:t>
            </w:r>
            <w:r w:rsidR="003C18AC">
              <w:rPr>
                <w:color w:val="auto"/>
              </w:rPr>
              <w:t xml:space="preserve"> and API &lt;1.0</w:t>
            </w:r>
            <w:r>
              <w:rPr>
                <w:color w:val="auto"/>
              </w:rPr>
              <w:t>; b)</w:t>
            </w:r>
            <w:r w:rsidR="003C18AC">
              <w:rPr>
                <w:color w:val="auto"/>
              </w:rPr>
              <w:t xml:space="preserve"> the </w:t>
            </w:r>
            <w:r>
              <w:rPr>
                <w:color w:val="auto"/>
              </w:rPr>
              <w:t>remaining reports to receive</w:t>
            </w:r>
            <w:r w:rsidR="003C18AC">
              <w:rPr>
                <w:color w:val="auto"/>
              </w:rPr>
              <w:t>, especially</w:t>
            </w:r>
            <w:r>
              <w:rPr>
                <w:color w:val="auto"/>
              </w:rPr>
              <w:t xml:space="preserve"> for Q4/2020; and c) </w:t>
            </w:r>
            <w:r w:rsidR="003C18AC">
              <w:rPr>
                <w:color w:val="auto"/>
              </w:rPr>
              <w:t xml:space="preserve">the </w:t>
            </w:r>
            <w:r>
              <w:rPr>
                <w:color w:val="auto"/>
              </w:rPr>
              <w:t xml:space="preserve">need to validate and verify all data (especially for double-entries and relapses). </w:t>
            </w:r>
            <w:r w:rsidR="003C18AC">
              <w:rPr>
                <w:color w:val="auto"/>
              </w:rPr>
              <w:t xml:space="preserve">It was also noted that increases were observed in a number of countries for 2019 as per the recent World Malaria Report, and that further increases are anticipated for 2020 due to interruption of malaria services </w:t>
            </w:r>
            <w:proofErr w:type="gramStart"/>
            <w:r w:rsidR="003C18AC">
              <w:rPr>
                <w:color w:val="auto"/>
              </w:rPr>
              <w:t>as a result</w:t>
            </w:r>
            <w:proofErr w:type="gramEnd"/>
            <w:r w:rsidR="003C18AC">
              <w:rPr>
                <w:color w:val="auto"/>
              </w:rPr>
              <w:t xml:space="preserve"> of the COVID-19 pandemic. It was recommended that the data, once fully compiled and cleaned, be examined in more detail to determine the extent and nature of ongoing malaria burden in Vanuatu. </w:t>
            </w:r>
          </w:p>
          <w:p w14:paraId="7A0D0F4A" w14:textId="177A1187" w:rsidR="00F10ADB" w:rsidRDefault="00F10ADB" w:rsidP="00F10ADB">
            <w:pPr>
              <w:cnfStyle w:val="000000000000" w:firstRow="0" w:lastRow="0" w:firstColumn="0" w:lastColumn="0" w:oddVBand="0" w:evenVBand="0" w:oddHBand="0" w:evenHBand="0" w:firstRowFirstColumn="0" w:firstRowLastColumn="0" w:lastRowFirstColumn="0" w:lastRowLastColumn="0"/>
              <w:rPr>
                <w:color w:val="auto"/>
              </w:rPr>
            </w:pPr>
          </w:p>
          <w:p w14:paraId="14AC00CE" w14:textId="457AAF9C" w:rsidR="00CC12E1" w:rsidRDefault="001E53BF" w:rsidP="003104F0">
            <w:pPr>
              <w:cnfStyle w:val="000000000000" w:firstRow="0" w:lastRow="0" w:firstColumn="0" w:lastColumn="0" w:oddVBand="0" w:evenVBand="0" w:oddHBand="0" w:evenHBand="0" w:firstRowFirstColumn="0" w:firstRowLastColumn="0" w:lastRowFirstColumn="0" w:lastRowLastColumn="0"/>
              <w:rPr>
                <w:color w:val="auto"/>
              </w:rPr>
            </w:pPr>
            <w:r>
              <w:rPr>
                <w:color w:val="auto"/>
              </w:rPr>
              <w:t>RAM Country Coordinator congratulated MOH on the achievement of a continued decrease in API despite the challenges presented in 2020 by COVID-19 and TC Harold</w:t>
            </w:r>
            <w:r w:rsidR="003104F0">
              <w:rPr>
                <w:color w:val="auto"/>
              </w:rPr>
              <w:t xml:space="preserve">, and acknowledged that this represented a true team effort. </w:t>
            </w:r>
            <w:r w:rsidR="00194ED7">
              <w:rPr>
                <w:color w:val="auto"/>
              </w:rPr>
              <w:t>The</w:t>
            </w:r>
            <w:r w:rsidR="00194ED7" w:rsidRPr="00194ED7">
              <w:rPr>
                <w:color w:val="auto"/>
              </w:rPr>
              <w:t xml:space="preserve"> impressive work conducted in the course of 2020</w:t>
            </w:r>
            <w:r w:rsidR="00194ED7">
              <w:rPr>
                <w:color w:val="auto"/>
              </w:rPr>
              <w:t xml:space="preserve"> demonstrated </w:t>
            </w:r>
            <w:r w:rsidR="00194ED7" w:rsidRPr="00194ED7">
              <w:rPr>
                <w:color w:val="auto"/>
              </w:rPr>
              <w:t xml:space="preserve">good governance and an impressive team with </w:t>
            </w:r>
            <w:r w:rsidR="00194ED7">
              <w:rPr>
                <w:color w:val="auto"/>
              </w:rPr>
              <w:t xml:space="preserve">strong </w:t>
            </w:r>
            <w:r w:rsidR="00194ED7" w:rsidRPr="00194ED7">
              <w:rPr>
                <w:color w:val="auto"/>
              </w:rPr>
              <w:t xml:space="preserve">partner collaboration.  </w:t>
            </w:r>
          </w:p>
          <w:p w14:paraId="2A6264B1" w14:textId="77777777" w:rsidR="005F17F5" w:rsidRDefault="005F17F5" w:rsidP="003104F0">
            <w:pPr>
              <w:cnfStyle w:val="000000000000" w:firstRow="0" w:lastRow="0" w:firstColumn="0" w:lastColumn="0" w:oddVBand="0" w:evenVBand="0" w:oddHBand="0" w:evenHBand="0" w:firstRowFirstColumn="0" w:firstRowLastColumn="0" w:lastRowFirstColumn="0" w:lastRowLastColumn="0"/>
              <w:rPr>
                <w:color w:val="auto"/>
              </w:rPr>
            </w:pPr>
          </w:p>
          <w:p w14:paraId="2ECE02DC" w14:textId="53E1380A" w:rsidR="005F17F5" w:rsidRPr="00F10ADB" w:rsidRDefault="005F17F5" w:rsidP="003104F0">
            <w:pPr>
              <w:cnfStyle w:val="000000000000" w:firstRow="0" w:lastRow="0" w:firstColumn="0" w:lastColumn="0" w:oddVBand="0" w:evenVBand="0" w:oddHBand="0" w:evenHBand="0" w:firstRowFirstColumn="0" w:firstRowLastColumn="0" w:lastRowFirstColumn="0" w:lastRowLastColumn="0"/>
              <w:rPr>
                <w:color w:val="auto"/>
              </w:rPr>
            </w:pPr>
            <w:r>
              <w:rPr>
                <w:color w:val="auto"/>
              </w:rPr>
              <w:t>JCU Senior Research Fellow also commended the work of the MOH and progress made throughout 2020</w:t>
            </w:r>
            <w:r w:rsidR="001531C6">
              <w:rPr>
                <w:color w:val="auto"/>
              </w:rPr>
              <w:t xml:space="preserve">, and reiterated that IRS will be a useful tool to address the remaining strongholds of malaria in Vanuatu. </w:t>
            </w:r>
          </w:p>
        </w:tc>
        <w:tc>
          <w:tcPr>
            <w:tcW w:w="1705" w:type="dxa"/>
          </w:tcPr>
          <w:p w14:paraId="37E7E3B7" w14:textId="77777777" w:rsidR="00B82179" w:rsidRDefault="00B82179" w:rsidP="00EC0AFB">
            <w:pPr>
              <w:cnfStyle w:val="000000000000" w:firstRow="0" w:lastRow="0" w:firstColumn="0" w:lastColumn="0" w:oddVBand="0" w:evenVBand="0" w:oddHBand="0" w:evenHBand="0" w:firstRowFirstColumn="0" w:firstRowLastColumn="0" w:lastRowFirstColumn="0" w:lastRowLastColumn="0"/>
            </w:pPr>
          </w:p>
          <w:p w14:paraId="6964B1D6" w14:textId="77777777" w:rsidR="00B82179" w:rsidRDefault="00B82179" w:rsidP="00EC0AFB">
            <w:pPr>
              <w:cnfStyle w:val="000000000000" w:firstRow="0" w:lastRow="0" w:firstColumn="0" w:lastColumn="0" w:oddVBand="0" w:evenVBand="0" w:oddHBand="0" w:evenHBand="0" w:firstRowFirstColumn="0" w:firstRowLastColumn="0" w:lastRowFirstColumn="0" w:lastRowLastColumn="0"/>
            </w:pPr>
          </w:p>
          <w:p w14:paraId="4E0F1B66" w14:textId="77777777" w:rsidR="00B82179" w:rsidRDefault="00B82179" w:rsidP="00EC0AFB">
            <w:pPr>
              <w:cnfStyle w:val="000000000000" w:firstRow="0" w:lastRow="0" w:firstColumn="0" w:lastColumn="0" w:oddVBand="0" w:evenVBand="0" w:oddHBand="0" w:evenHBand="0" w:firstRowFirstColumn="0" w:firstRowLastColumn="0" w:lastRowFirstColumn="0" w:lastRowLastColumn="0"/>
            </w:pPr>
          </w:p>
          <w:p w14:paraId="39A01472" w14:textId="77777777" w:rsidR="00B82179" w:rsidRDefault="00B82179" w:rsidP="00EC0AFB">
            <w:pPr>
              <w:cnfStyle w:val="000000000000" w:firstRow="0" w:lastRow="0" w:firstColumn="0" w:lastColumn="0" w:oddVBand="0" w:evenVBand="0" w:oddHBand="0" w:evenHBand="0" w:firstRowFirstColumn="0" w:firstRowLastColumn="0" w:lastRowFirstColumn="0" w:lastRowLastColumn="0"/>
            </w:pPr>
          </w:p>
          <w:p w14:paraId="4120480F" w14:textId="77777777" w:rsidR="00B82179" w:rsidRDefault="00B82179" w:rsidP="00EC0AFB">
            <w:pPr>
              <w:cnfStyle w:val="000000000000" w:firstRow="0" w:lastRow="0" w:firstColumn="0" w:lastColumn="0" w:oddVBand="0" w:evenVBand="0" w:oddHBand="0" w:evenHBand="0" w:firstRowFirstColumn="0" w:firstRowLastColumn="0" w:lastRowFirstColumn="0" w:lastRowLastColumn="0"/>
            </w:pPr>
          </w:p>
          <w:p w14:paraId="5DC77A2C" w14:textId="77777777" w:rsidR="00B82179" w:rsidRDefault="00B82179" w:rsidP="00EC0AFB">
            <w:pPr>
              <w:cnfStyle w:val="000000000000" w:firstRow="0" w:lastRow="0" w:firstColumn="0" w:lastColumn="0" w:oddVBand="0" w:evenVBand="0" w:oddHBand="0" w:evenHBand="0" w:firstRowFirstColumn="0" w:firstRowLastColumn="0" w:lastRowFirstColumn="0" w:lastRowLastColumn="0"/>
            </w:pPr>
          </w:p>
          <w:p w14:paraId="43C6E3E4" w14:textId="77777777" w:rsidR="00B82179" w:rsidRDefault="00B82179" w:rsidP="00EC0AFB">
            <w:pPr>
              <w:cnfStyle w:val="000000000000" w:firstRow="0" w:lastRow="0" w:firstColumn="0" w:lastColumn="0" w:oddVBand="0" w:evenVBand="0" w:oddHBand="0" w:evenHBand="0" w:firstRowFirstColumn="0" w:firstRowLastColumn="0" w:lastRowFirstColumn="0" w:lastRowLastColumn="0"/>
            </w:pPr>
          </w:p>
          <w:p w14:paraId="5D02BE47" w14:textId="77777777" w:rsidR="00B82179" w:rsidRDefault="00B82179" w:rsidP="00EC0AFB">
            <w:pPr>
              <w:cnfStyle w:val="000000000000" w:firstRow="0" w:lastRow="0" w:firstColumn="0" w:lastColumn="0" w:oddVBand="0" w:evenVBand="0" w:oddHBand="0" w:evenHBand="0" w:firstRowFirstColumn="0" w:firstRowLastColumn="0" w:lastRowFirstColumn="0" w:lastRowLastColumn="0"/>
            </w:pPr>
          </w:p>
          <w:p w14:paraId="416BCFB6" w14:textId="77777777" w:rsidR="00B82179" w:rsidRDefault="00B82179" w:rsidP="00EC0AFB">
            <w:pPr>
              <w:cnfStyle w:val="000000000000" w:firstRow="0" w:lastRow="0" w:firstColumn="0" w:lastColumn="0" w:oddVBand="0" w:evenVBand="0" w:oddHBand="0" w:evenHBand="0" w:firstRowFirstColumn="0" w:firstRowLastColumn="0" w:lastRowFirstColumn="0" w:lastRowLastColumn="0"/>
            </w:pPr>
          </w:p>
          <w:p w14:paraId="51536FA5" w14:textId="77777777" w:rsidR="00B82179" w:rsidRDefault="00B82179" w:rsidP="00EC0AFB">
            <w:pPr>
              <w:cnfStyle w:val="000000000000" w:firstRow="0" w:lastRow="0" w:firstColumn="0" w:lastColumn="0" w:oddVBand="0" w:evenVBand="0" w:oddHBand="0" w:evenHBand="0" w:firstRowFirstColumn="0" w:firstRowLastColumn="0" w:lastRowFirstColumn="0" w:lastRowLastColumn="0"/>
            </w:pPr>
          </w:p>
          <w:p w14:paraId="506314F7" w14:textId="77777777" w:rsidR="00B82179" w:rsidRDefault="00B82179" w:rsidP="00EC0AFB">
            <w:pPr>
              <w:cnfStyle w:val="000000000000" w:firstRow="0" w:lastRow="0" w:firstColumn="0" w:lastColumn="0" w:oddVBand="0" w:evenVBand="0" w:oddHBand="0" w:evenHBand="0" w:firstRowFirstColumn="0" w:firstRowLastColumn="0" w:lastRowFirstColumn="0" w:lastRowLastColumn="0"/>
            </w:pPr>
          </w:p>
          <w:p w14:paraId="5F9FFC07" w14:textId="77777777" w:rsidR="003104F0" w:rsidRDefault="003104F0" w:rsidP="00EC0AFB">
            <w:pPr>
              <w:cnfStyle w:val="000000000000" w:firstRow="0" w:lastRow="0" w:firstColumn="0" w:lastColumn="0" w:oddVBand="0" w:evenVBand="0" w:oddHBand="0" w:evenHBand="0" w:firstRowFirstColumn="0" w:firstRowLastColumn="0" w:lastRowFirstColumn="0" w:lastRowLastColumn="0"/>
              <w:rPr>
                <w:color w:val="auto"/>
              </w:rPr>
            </w:pPr>
          </w:p>
          <w:p w14:paraId="39EE51FC" w14:textId="77777777" w:rsidR="003104F0" w:rsidRDefault="003104F0" w:rsidP="00EC0AFB">
            <w:pPr>
              <w:cnfStyle w:val="000000000000" w:firstRow="0" w:lastRow="0" w:firstColumn="0" w:lastColumn="0" w:oddVBand="0" w:evenVBand="0" w:oddHBand="0" w:evenHBand="0" w:firstRowFirstColumn="0" w:firstRowLastColumn="0" w:lastRowFirstColumn="0" w:lastRowLastColumn="0"/>
              <w:rPr>
                <w:color w:val="auto"/>
              </w:rPr>
            </w:pPr>
          </w:p>
          <w:p w14:paraId="5944D157" w14:textId="77777777" w:rsidR="003104F0" w:rsidRDefault="003104F0" w:rsidP="00EC0AFB">
            <w:pPr>
              <w:cnfStyle w:val="000000000000" w:firstRow="0" w:lastRow="0" w:firstColumn="0" w:lastColumn="0" w:oddVBand="0" w:evenVBand="0" w:oddHBand="0" w:evenHBand="0" w:firstRowFirstColumn="0" w:firstRowLastColumn="0" w:lastRowFirstColumn="0" w:lastRowLastColumn="0"/>
              <w:rPr>
                <w:color w:val="auto"/>
              </w:rPr>
            </w:pPr>
          </w:p>
          <w:p w14:paraId="342306B8" w14:textId="77777777" w:rsidR="00772DB6" w:rsidRDefault="00772DB6" w:rsidP="003104F0">
            <w:pPr>
              <w:cnfStyle w:val="000000000000" w:firstRow="0" w:lastRow="0" w:firstColumn="0" w:lastColumn="0" w:oddVBand="0" w:evenVBand="0" w:oddHBand="0" w:evenHBand="0" w:firstRowFirstColumn="0" w:firstRowLastColumn="0" w:lastRowFirstColumn="0" w:lastRowLastColumn="0"/>
              <w:rPr>
                <w:color w:val="auto"/>
              </w:rPr>
            </w:pPr>
          </w:p>
          <w:p w14:paraId="3BC3B4A8" w14:textId="692FE8A7" w:rsidR="00772DB6" w:rsidRDefault="00772DB6" w:rsidP="003104F0">
            <w:pPr>
              <w:cnfStyle w:val="000000000000" w:firstRow="0" w:lastRow="0" w:firstColumn="0" w:lastColumn="0" w:oddVBand="0" w:evenVBand="0" w:oddHBand="0" w:evenHBand="0" w:firstRowFirstColumn="0" w:firstRowLastColumn="0" w:lastRowFirstColumn="0" w:lastRowLastColumn="0"/>
              <w:rPr>
                <w:color w:val="auto"/>
              </w:rPr>
            </w:pPr>
          </w:p>
          <w:p w14:paraId="6DFD43B4" w14:textId="281B45F4"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39577B55" w14:textId="6C232F9D"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1CE67BAB" w14:textId="51231CAC"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4B0FCC40" w14:textId="381B7DF4"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11BBD727" w14:textId="6E39C104"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38AEAC17" w14:textId="200CCF17"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26716BF1" w14:textId="6846B412"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7B77073A" w14:textId="205D4378"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34F20EC3" w14:textId="452D2336"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6FAC9652" w14:textId="4B0FC179"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367E1833" w14:textId="1E731CD1"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412551EC" w14:textId="4FC495F6"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43B9E64B" w14:textId="4DC4A29D"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0B9F32EF" w14:textId="7571C2C1"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28494E57" w14:textId="1F4F2C8F"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3B6D3255" w14:textId="6730AC2F"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514A87F3" w14:textId="334E5F4D"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60AAE7A2" w14:textId="178529D1"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6AA1E2FB" w14:textId="5F8DAFE4"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59A1AF91" w14:textId="2AD9438A"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6C00D441" w14:textId="76DBBA9F"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66934D16" w14:textId="3C01316A"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14D182FB" w14:textId="449A97FF"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79C5F00B" w14:textId="3996D11B"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69E0BD11" w14:textId="6DC22138"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4B815EB3" w14:textId="3D1ACE85"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4871A7D2" w14:textId="4B400585"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72209E2C" w14:textId="6860FC89"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6BC50C07" w14:textId="016B56D7"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0DEF37F9" w14:textId="2D42F1F9"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7C49AA5E" w14:textId="3119D697"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474A3972" w14:textId="058A950C"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30849D8A" w14:textId="6A9C891A"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12449FB6" w14:textId="6DAFC6DB"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0B6CB32D" w14:textId="64228350"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1B147639" w14:textId="7B081A3B"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00E34C1D" w14:textId="2AEB9F9F"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2C575B40" w14:textId="2E5465FA"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76D90118" w14:textId="7E0BF308"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2B778580" w14:textId="23494243"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4C7FD81C" w14:textId="5F9286DB"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134C73DA" w14:textId="77052212"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0F1E3A24" w14:textId="77777777" w:rsidR="00D33CB0" w:rsidRDefault="00D33CB0" w:rsidP="003104F0">
            <w:pPr>
              <w:cnfStyle w:val="000000000000" w:firstRow="0" w:lastRow="0" w:firstColumn="0" w:lastColumn="0" w:oddVBand="0" w:evenVBand="0" w:oddHBand="0" w:evenHBand="0" w:firstRowFirstColumn="0" w:firstRowLastColumn="0" w:lastRowFirstColumn="0" w:lastRowLastColumn="0"/>
              <w:rPr>
                <w:color w:val="auto"/>
              </w:rPr>
            </w:pPr>
          </w:p>
          <w:p w14:paraId="30507B6E" w14:textId="3EC58D1F" w:rsidR="005D401C" w:rsidRPr="003104F0" w:rsidRDefault="00E96206" w:rsidP="003104F0">
            <w:pPr>
              <w:cnfStyle w:val="000000000000" w:firstRow="0" w:lastRow="0" w:firstColumn="0" w:lastColumn="0" w:oddVBand="0" w:evenVBand="0" w:oddHBand="0" w:evenHBand="0" w:firstRowFirstColumn="0" w:firstRowLastColumn="0" w:lastRowFirstColumn="0" w:lastRowLastColumn="0"/>
              <w:rPr>
                <w:color w:val="auto"/>
              </w:rPr>
            </w:pPr>
            <w:r>
              <w:rPr>
                <w:color w:val="auto"/>
              </w:rPr>
              <w:t>Malaria case data to be examined, including to identify reasons for possible increases – MOH/WHO</w:t>
            </w:r>
          </w:p>
        </w:tc>
      </w:tr>
      <w:tr w:rsidR="002B19C3" w:rsidRPr="00FB5425" w14:paraId="3A8A9FDE" w14:textId="77777777" w:rsidTr="00E1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A77FEE0" w14:textId="4159317D" w:rsidR="00EF40D6" w:rsidRPr="001E53BF" w:rsidRDefault="00EF40D6" w:rsidP="003267C6">
            <w:pPr>
              <w:rPr>
                <w:color w:val="auto"/>
              </w:rPr>
            </w:pPr>
            <w:r w:rsidRPr="001E53BF">
              <w:rPr>
                <w:color w:val="auto"/>
              </w:rPr>
              <w:lastRenderedPageBreak/>
              <w:t>#</w:t>
            </w:r>
            <w:r w:rsidR="0054543B" w:rsidRPr="001E53BF">
              <w:rPr>
                <w:color w:val="auto"/>
              </w:rPr>
              <w:t xml:space="preserve"> </w:t>
            </w:r>
            <w:r w:rsidR="00640C31" w:rsidRPr="001E53BF">
              <w:rPr>
                <w:color w:val="auto"/>
              </w:rPr>
              <w:t>2</w:t>
            </w:r>
            <w:r w:rsidRPr="001E53BF">
              <w:rPr>
                <w:color w:val="auto"/>
              </w:rPr>
              <w:t xml:space="preserve"> </w:t>
            </w:r>
          </w:p>
        </w:tc>
        <w:tc>
          <w:tcPr>
            <w:tcW w:w="6745" w:type="dxa"/>
          </w:tcPr>
          <w:p w14:paraId="608A50B2" w14:textId="581939D6" w:rsidR="001E53BF" w:rsidRPr="001E53BF" w:rsidRDefault="001E53BF" w:rsidP="001E53BF">
            <w:pPr>
              <w:cnfStyle w:val="000000100000" w:firstRow="0" w:lastRow="0" w:firstColumn="0" w:lastColumn="0" w:oddVBand="0" w:evenVBand="0" w:oddHBand="1" w:evenHBand="0" w:firstRowFirstColumn="0" w:firstRowLastColumn="0" w:lastRowFirstColumn="0" w:lastRowLastColumn="0"/>
              <w:rPr>
                <w:color w:val="auto"/>
              </w:rPr>
            </w:pPr>
            <w:r w:rsidRPr="001E53BF">
              <w:rPr>
                <w:color w:val="auto"/>
              </w:rPr>
              <w:t>MOH Coordinator of Malaria and Other Vector Borne Diseases Control Program (VBDCP) outlined the priorities for 2021</w:t>
            </w:r>
            <w:r w:rsidR="00836D22">
              <w:rPr>
                <w:color w:val="auto"/>
              </w:rPr>
              <w:t xml:space="preserve"> </w:t>
            </w:r>
            <w:r w:rsidR="00ED37A9">
              <w:rPr>
                <w:color w:val="auto"/>
              </w:rPr>
              <w:t xml:space="preserve">as </w:t>
            </w:r>
            <w:r w:rsidR="00836D22">
              <w:rPr>
                <w:color w:val="auto"/>
              </w:rPr>
              <w:t xml:space="preserve">to be aligned with </w:t>
            </w:r>
            <w:r w:rsidR="00ED37A9">
              <w:rPr>
                <w:color w:val="auto"/>
              </w:rPr>
              <w:t>the new</w:t>
            </w:r>
            <w:r w:rsidR="00836D22">
              <w:rPr>
                <w:color w:val="auto"/>
              </w:rPr>
              <w:t xml:space="preserve"> NSPME. Challenges </w:t>
            </w:r>
            <w:r w:rsidR="00ED37A9">
              <w:rPr>
                <w:color w:val="auto"/>
              </w:rPr>
              <w:t>(</w:t>
            </w:r>
            <w:r w:rsidR="00836D22">
              <w:rPr>
                <w:color w:val="auto"/>
              </w:rPr>
              <w:t xml:space="preserve">as outlined </w:t>
            </w:r>
            <w:r w:rsidR="00ED37A9">
              <w:rPr>
                <w:color w:val="auto"/>
              </w:rPr>
              <w:t xml:space="preserve">above) are to be </w:t>
            </w:r>
            <w:r w:rsidR="00836D22">
              <w:rPr>
                <w:color w:val="auto"/>
              </w:rPr>
              <w:t xml:space="preserve">addressed with priority actions as follows: </w:t>
            </w:r>
            <w:r w:rsidRPr="001E53BF">
              <w:rPr>
                <w:color w:val="auto"/>
              </w:rPr>
              <w:t xml:space="preserve"> </w:t>
            </w:r>
          </w:p>
          <w:p w14:paraId="108B8ADA" w14:textId="77777777" w:rsidR="00836D22" w:rsidRPr="00836D22" w:rsidRDefault="00836D22" w:rsidP="00836D22">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Ongoing engagement to ensure recruitment of Provincial Malaria </w:t>
            </w:r>
            <w:r w:rsidRPr="00836D22">
              <w:rPr>
                <w:color w:val="auto"/>
              </w:rPr>
              <w:t>Supervisors</w:t>
            </w:r>
          </w:p>
          <w:p w14:paraId="42A26E93" w14:textId="2C3F1797" w:rsidR="00836D22" w:rsidRPr="00836D22" w:rsidRDefault="00836D22" w:rsidP="00836D22">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836D22">
              <w:rPr>
                <w:color w:val="auto"/>
              </w:rPr>
              <w:t xml:space="preserve">Continued support from GF and WHO for key program positions </w:t>
            </w:r>
            <w:r w:rsidR="00ED37A9">
              <w:rPr>
                <w:color w:val="auto"/>
              </w:rPr>
              <w:t xml:space="preserve">for </w:t>
            </w:r>
            <w:r w:rsidRPr="00836D22">
              <w:rPr>
                <w:color w:val="auto"/>
              </w:rPr>
              <w:t>2021 onwards</w:t>
            </w:r>
          </w:p>
          <w:p w14:paraId="177F1403" w14:textId="35B548AA" w:rsidR="001E53BF" w:rsidRDefault="00836D22" w:rsidP="00836D22">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836D22">
              <w:rPr>
                <w:color w:val="auto"/>
              </w:rPr>
              <w:t xml:space="preserve">Further investigation of </w:t>
            </w:r>
            <w:r w:rsidR="00ED37A9" w:rsidRPr="00836D22">
              <w:rPr>
                <w:color w:val="auto"/>
              </w:rPr>
              <w:t>opportunities</w:t>
            </w:r>
            <w:r w:rsidRPr="00836D22">
              <w:rPr>
                <w:color w:val="auto"/>
              </w:rPr>
              <w:t xml:space="preserve"> for external </w:t>
            </w:r>
            <w:r w:rsidR="00ED37A9">
              <w:rPr>
                <w:color w:val="auto"/>
              </w:rPr>
              <w:t xml:space="preserve">surge staffing </w:t>
            </w:r>
            <w:r w:rsidRPr="00836D22">
              <w:rPr>
                <w:color w:val="auto"/>
              </w:rPr>
              <w:t>support</w:t>
            </w:r>
            <w:r w:rsidR="00ED37A9">
              <w:rPr>
                <w:color w:val="auto"/>
              </w:rPr>
              <w:t>,</w:t>
            </w:r>
            <w:r w:rsidRPr="00836D22">
              <w:rPr>
                <w:color w:val="auto"/>
              </w:rPr>
              <w:t xml:space="preserve"> such as through Australian Volunteers, Peace Corps, WHO STOP-malaria initiative </w:t>
            </w:r>
          </w:p>
          <w:p w14:paraId="7CE57C53" w14:textId="7E10D8E4" w:rsidR="00836D22" w:rsidRDefault="00836D22" w:rsidP="00836D22">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Seeking additional support </w:t>
            </w:r>
            <w:r w:rsidR="00ED37A9">
              <w:rPr>
                <w:color w:val="auto"/>
              </w:rPr>
              <w:t>from development partners for</w:t>
            </w:r>
            <w:r>
              <w:rPr>
                <w:color w:val="auto"/>
              </w:rPr>
              <w:t xml:space="preserve"> unfunded key programmatic activities</w:t>
            </w:r>
          </w:p>
          <w:p w14:paraId="754B42BE" w14:textId="34DFFF4F" w:rsidR="00836D22" w:rsidRDefault="00836D22" w:rsidP="00836D22">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Pr>
                <w:color w:val="auto"/>
              </w:rPr>
              <w:t>Strengthening information management systems, with more mentoring and supervision</w:t>
            </w:r>
          </w:p>
          <w:p w14:paraId="10524814" w14:textId="4D4D7D90" w:rsidR="00836D22" w:rsidRPr="00836D22" w:rsidRDefault="00ED37A9" w:rsidP="00836D22">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Procurement of additional </w:t>
            </w:r>
            <w:r w:rsidR="00836D22">
              <w:rPr>
                <w:color w:val="auto"/>
              </w:rPr>
              <w:t>vehicles for provincial use in key malaria elimination activities ie. case and foci investigations</w:t>
            </w:r>
          </w:p>
          <w:p w14:paraId="74074507" w14:textId="0705C1CD" w:rsidR="005F17F5" w:rsidRDefault="005F17F5" w:rsidP="00F7187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Pr>
                <w:color w:val="auto"/>
              </w:rPr>
              <w:lastRenderedPageBreak/>
              <w:t>Annual r</w:t>
            </w:r>
            <w:r w:rsidRPr="001E53BF">
              <w:rPr>
                <w:color w:val="auto"/>
              </w:rPr>
              <w:t>eview and planning meeting</w:t>
            </w:r>
            <w:r>
              <w:rPr>
                <w:color w:val="auto"/>
              </w:rPr>
              <w:t xml:space="preserve"> to be held in Q1/2021</w:t>
            </w:r>
            <w:r w:rsidR="00ED37A9">
              <w:rPr>
                <w:color w:val="auto"/>
              </w:rPr>
              <w:t xml:space="preserve"> (noting that a</w:t>
            </w:r>
            <w:r>
              <w:rPr>
                <w:color w:val="auto"/>
              </w:rPr>
              <w:t>vailability of funding is a key constraint at present and options are currently being explored</w:t>
            </w:r>
            <w:r w:rsidR="00ED37A9">
              <w:rPr>
                <w:color w:val="auto"/>
              </w:rPr>
              <w:t>)</w:t>
            </w:r>
            <w:r>
              <w:rPr>
                <w:color w:val="auto"/>
              </w:rPr>
              <w:t>.</w:t>
            </w:r>
          </w:p>
          <w:p w14:paraId="75143857" w14:textId="77777777" w:rsidR="005F17F5" w:rsidRPr="001E53BF" w:rsidRDefault="005F17F5" w:rsidP="001E53BF">
            <w:pPr>
              <w:cnfStyle w:val="000000100000" w:firstRow="0" w:lastRow="0" w:firstColumn="0" w:lastColumn="0" w:oddVBand="0" w:evenVBand="0" w:oddHBand="1" w:evenHBand="0" w:firstRowFirstColumn="0" w:firstRowLastColumn="0" w:lastRowFirstColumn="0" w:lastRowLastColumn="0"/>
              <w:rPr>
                <w:color w:val="auto"/>
              </w:rPr>
            </w:pPr>
          </w:p>
          <w:p w14:paraId="7E949CD7" w14:textId="6D52607F" w:rsidR="001E53BF" w:rsidRPr="001E53BF" w:rsidRDefault="001E53BF" w:rsidP="001E53BF">
            <w:pPr>
              <w:cnfStyle w:val="000000100000" w:firstRow="0" w:lastRow="0" w:firstColumn="0" w:lastColumn="0" w:oddVBand="0" w:evenVBand="0" w:oddHBand="1" w:evenHBand="0" w:firstRowFirstColumn="0" w:firstRowLastColumn="0" w:lastRowFirstColumn="0" w:lastRowLastColumn="0"/>
              <w:rPr>
                <w:color w:val="auto"/>
              </w:rPr>
            </w:pPr>
            <w:r w:rsidRPr="001E53BF">
              <w:rPr>
                <w:color w:val="auto"/>
              </w:rPr>
              <w:t xml:space="preserve">Director of Public Health further reiterated that: </w:t>
            </w:r>
          </w:p>
          <w:p w14:paraId="64B72F8C" w14:textId="0518BBA9" w:rsidR="007E7D8C" w:rsidRDefault="007E7D8C" w:rsidP="001E53B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Priority will be given to fill the vacant Provincial Malaria Supervisor positions </w:t>
            </w:r>
            <w:r w:rsidR="005F17F5">
              <w:rPr>
                <w:color w:val="auto"/>
              </w:rPr>
              <w:t xml:space="preserve">(only 2 of 4 currently filled) </w:t>
            </w:r>
            <w:r>
              <w:rPr>
                <w:color w:val="auto"/>
              </w:rPr>
              <w:t>through recruitment or temporary placement of staff from other provinces.</w:t>
            </w:r>
          </w:p>
          <w:p w14:paraId="2879A920" w14:textId="4109EC9B" w:rsidR="00813A5D" w:rsidRPr="001E53BF" w:rsidRDefault="007E7D8C" w:rsidP="00464F11">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Pr>
                <w:color w:val="auto"/>
              </w:rPr>
              <w:t>MOH public health staff who has been prioritized to support COVID-19 work including for repatriations will return to regular duties to ensure continued provision of essential public health services</w:t>
            </w:r>
          </w:p>
        </w:tc>
        <w:tc>
          <w:tcPr>
            <w:tcW w:w="1705" w:type="dxa"/>
          </w:tcPr>
          <w:p w14:paraId="5E59EA9E" w14:textId="4AA61F5F" w:rsidR="00D97289" w:rsidRPr="00FB5425" w:rsidRDefault="00D97289" w:rsidP="002B19C3">
            <w:pPr>
              <w:cnfStyle w:val="000000100000" w:firstRow="0" w:lastRow="0" w:firstColumn="0" w:lastColumn="0" w:oddVBand="0" w:evenVBand="0" w:oddHBand="1" w:evenHBand="0" w:firstRowFirstColumn="0" w:firstRowLastColumn="0" w:lastRowFirstColumn="0" w:lastRowLastColumn="0"/>
            </w:pPr>
          </w:p>
        </w:tc>
      </w:tr>
      <w:tr w:rsidR="002B19C3" w:rsidRPr="00FB5425" w14:paraId="3DB1FB16" w14:textId="77777777" w:rsidTr="00E161DB">
        <w:tc>
          <w:tcPr>
            <w:cnfStyle w:val="001000000000" w:firstRow="0" w:lastRow="0" w:firstColumn="1" w:lastColumn="0" w:oddVBand="0" w:evenVBand="0" w:oddHBand="0" w:evenHBand="0" w:firstRowFirstColumn="0" w:firstRowLastColumn="0" w:lastRowFirstColumn="0" w:lastRowLastColumn="0"/>
            <w:tcW w:w="910" w:type="dxa"/>
          </w:tcPr>
          <w:p w14:paraId="4A6EEB1D" w14:textId="3FC80ECC" w:rsidR="005B5AC2" w:rsidRPr="00902F79" w:rsidRDefault="005B5AC2" w:rsidP="005B5AC2">
            <w:pPr>
              <w:rPr>
                <w:color w:val="auto"/>
              </w:rPr>
            </w:pPr>
            <w:r w:rsidRPr="00902F79">
              <w:rPr>
                <w:color w:val="auto"/>
              </w:rPr>
              <w:t xml:space="preserve"># </w:t>
            </w:r>
            <w:r w:rsidR="00640C31">
              <w:rPr>
                <w:color w:val="auto"/>
              </w:rPr>
              <w:t>3</w:t>
            </w:r>
          </w:p>
        </w:tc>
        <w:tc>
          <w:tcPr>
            <w:tcW w:w="6745" w:type="dxa"/>
          </w:tcPr>
          <w:p w14:paraId="754AED23" w14:textId="05CA34E4" w:rsidR="001E53BF" w:rsidRPr="001531C6" w:rsidRDefault="00640C31" w:rsidP="00640C31">
            <w:pPr>
              <w:cnfStyle w:val="000000000000" w:firstRow="0" w:lastRow="0" w:firstColumn="0" w:lastColumn="0" w:oddVBand="0" w:evenVBand="0" w:oddHBand="0" w:evenHBand="0" w:firstRowFirstColumn="0" w:firstRowLastColumn="0" w:lastRowFirstColumn="0" w:lastRowLastColumn="0"/>
              <w:rPr>
                <w:color w:val="auto"/>
              </w:rPr>
            </w:pPr>
            <w:r w:rsidRPr="001531C6">
              <w:rPr>
                <w:color w:val="auto"/>
              </w:rPr>
              <w:t xml:space="preserve">RAM National </w:t>
            </w:r>
            <w:r w:rsidR="002B19C3" w:rsidRPr="001531C6">
              <w:rPr>
                <w:color w:val="auto"/>
              </w:rPr>
              <w:t xml:space="preserve">Manager provided a brief update on </w:t>
            </w:r>
            <w:r w:rsidRPr="001531C6">
              <w:rPr>
                <w:color w:val="auto"/>
              </w:rPr>
              <w:t xml:space="preserve">support to the MOH, as follows:  </w:t>
            </w:r>
          </w:p>
          <w:p w14:paraId="395BC321" w14:textId="238879A9" w:rsidR="002B19C3" w:rsidRPr="001531C6" w:rsidRDefault="002B19C3" w:rsidP="002B19C3">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color w:val="auto"/>
              </w:rPr>
            </w:pPr>
            <w:r w:rsidRPr="001531C6">
              <w:rPr>
                <w:color w:val="auto"/>
              </w:rPr>
              <w:t xml:space="preserve">Rotary Global Grant application titled “Malaria Elimination in Vanuatu” was recently approved, to the value of US$411,000. This will support re-initiation of IRS in Vanuatu. The first meeting of the team was held on 04 December 2020. Procurement of items is the priority. Under the TC Harold response, MOH were able to secure IRS spray equipment, PPE and insecticides which will ensure that trainings can commence following baseline work in 2021 as items are awaited through support of this grant. An international Lead Trainer has been identified who will provide support remotely with two local Master trainers to coordinate the </w:t>
            </w:r>
            <w:r w:rsidR="00464F11" w:rsidRPr="001531C6">
              <w:rPr>
                <w:color w:val="auto"/>
              </w:rPr>
              <w:t xml:space="preserve">refresher training </w:t>
            </w:r>
            <w:r w:rsidRPr="001531C6">
              <w:rPr>
                <w:color w:val="auto"/>
              </w:rPr>
              <w:t xml:space="preserve">work in Vanuatu. </w:t>
            </w:r>
          </w:p>
          <w:p w14:paraId="2BE4584E" w14:textId="1A2E7E0A" w:rsidR="002B19C3" w:rsidRPr="001531C6" w:rsidRDefault="002B19C3" w:rsidP="002B19C3">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color w:val="auto"/>
              </w:rPr>
            </w:pPr>
            <w:r w:rsidRPr="001531C6">
              <w:rPr>
                <w:color w:val="auto"/>
              </w:rPr>
              <w:t>Director of Public Health indicated that the National COVID-19 Advisory Committee has commenced work to allow access to international experts with skills not available in Vanuatu; this may enable travel of an IRS Master trainer in the future though timelines are not yet known.</w:t>
            </w:r>
          </w:p>
          <w:p w14:paraId="04A5FC69" w14:textId="77777777" w:rsidR="002B19C3" w:rsidRPr="001531C6" w:rsidRDefault="002B19C3" w:rsidP="002B19C3">
            <w:pPr>
              <w:pStyle w:val="ListParagraph"/>
              <w:ind w:left="360"/>
              <w:cnfStyle w:val="000000000000" w:firstRow="0" w:lastRow="0" w:firstColumn="0" w:lastColumn="0" w:oddVBand="0" w:evenVBand="0" w:oddHBand="0" w:evenHBand="0" w:firstRowFirstColumn="0" w:firstRowLastColumn="0" w:lastRowFirstColumn="0" w:lastRowLastColumn="0"/>
              <w:rPr>
                <w:color w:val="auto"/>
              </w:rPr>
            </w:pPr>
          </w:p>
          <w:p w14:paraId="0DCBE311" w14:textId="77777777" w:rsidR="002B19C3" w:rsidRPr="001531C6" w:rsidRDefault="002B19C3" w:rsidP="001E53BF">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color w:val="auto"/>
              </w:rPr>
            </w:pPr>
            <w:r w:rsidRPr="001531C6">
              <w:rPr>
                <w:color w:val="auto"/>
              </w:rPr>
              <w:t xml:space="preserve">RAM Australia and New Zealand will continue fundraising for Vanuatu throughout 2021. This will enable a relatively modest pool of funds that offers some flexibility and may be accessed within a short timeframe if clearly justified. Therefore, if there are any arising priorities then MOH should send a clear costed request to RAM. </w:t>
            </w:r>
          </w:p>
          <w:p w14:paraId="3A8D9046" w14:textId="77777777" w:rsidR="00464F11" w:rsidRPr="001531C6" w:rsidRDefault="00464F11" w:rsidP="00464F11">
            <w:pPr>
              <w:cnfStyle w:val="000000000000" w:firstRow="0" w:lastRow="0" w:firstColumn="0" w:lastColumn="0" w:oddVBand="0" w:evenVBand="0" w:oddHBand="0" w:evenHBand="0" w:firstRowFirstColumn="0" w:firstRowLastColumn="0" w:lastRowFirstColumn="0" w:lastRowLastColumn="0"/>
              <w:rPr>
                <w:color w:val="auto"/>
              </w:rPr>
            </w:pPr>
          </w:p>
          <w:p w14:paraId="1C3EA1F0" w14:textId="78782093" w:rsidR="00464F11" w:rsidRPr="001531C6" w:rsidRDefault="00464F11" w:rsidP="00464F11">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color w:val="auto"/>
              </w:rPr>
            </w:pPr>
            <w:r w:rsidRPr="001531C6">
              <w:rPr>
                <w:color w:val="auto"/>
              </w:rPr>
              <w:t xml:space="preserve">RAM also have a network that may be utilized to seek volunteer support if needed. </w:t>
            </w:r>
          </w:p>
        </w:tc>
        <w:tc>
          <w:tcPr>
            <w:tcW w:w="1705" w:type="dxa"/>
          </w:tcPr>
          <w:p w14:paraId="3C36849C" w14:textId="77777777" w:rsidR="001531C6" w:rsidRDefault="001531C6" w:rsidP="00EC0AFB">
            <w:pPr>
              <w:cnfStyle w:val="000000000000" w:firstRow="0" w:lastRow="0" w:firstColumn="0" w:lastColumn="0" w:oddVBand="0" w:evenVBand="0" w:oddHBand="0" w:evenHBand="0" w:firstRowFirstColumn="0" w:firstRowLastColumn="0" w:lastRowFirstColumn="0" w:lastRowLastColumn="0"/>
              <w:rPr>
                <w:color w:val="auto"/>
              </w:rPr>
            </w:pPr>
          </w:p>
          <w:p w14:paraId="5C1B52C2" w14:textId="77777777" w:rsidR="001531C6" w:rsidRDefault="001531C6" w:rsidP="00EC0AFB">
            <w:pPr>
              <w:cnfStyle w:val="000000000000" w:firstRow="0" w:lastRow="0" w:firstColumn="0" w:lastColumn="0" w:oddVBand="0" w:evenVBand="0" w:oddHBand="0" w:evenHBand="0" w:firstRowFirstColumn="0" w:firstRowLastColumn="0" w:lastRowFirstColumn="0" w:lastRowLastColumn="0"/>
              <w:rPr>
                <w:color w:val="auto"/>
              </w:rPr>
            </w:pPr>
          </w:p>
          <w:p w14:paraId="4076BD25" w14:textId="5EAB11C5" w:rsidR="00E161DB" w:rsidRDefault="001531C6" w:rsidP="00EC0AFB">
            <w:pPr>
              <w:cnfStyle w:val="000000000000" w:firstRow="0" w:lastRow="0" w:firstColumn="0" w:lastColumn="0" w:oddVBand="0" w:evenVBand="0" w:oddHBand="0" w:evenHBand="0" w:firstRowFirstColumn="0" w:firstRowLastColumn="0" w:lastRowFirstColumn="0" w:lastRowLastColumn="0"/>
            </w:pPr>
            <w:r>
              <w:rPr>
                <w:color w:val="auto"/>
              </w:rPr>
              <w:t xml:space="preserve">Additional </w:t>
            </w:r>
            <w:r w:rsidR="005F17F5">
              <w:rPr>
                <w:color w:val="auto"/>
              </w:rPr>
              <w:t>IRS equipment and supplies order should proceed ASAP – MOH/WHO</w:t>
            </w:r>
          </w:p>
          <w:p w14:paraId="7593314F"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2B2E03E5"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14BC832E"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0DB81C60"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12F2FFE4"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7A3CC6B1"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67149851"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374F7E85"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6F80AFB7"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1412913E"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5D5EC529"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071274A6" w14:textId="77777777" w:rsidR="00E161DB" w:rsidRDefault="00E161DB" w:rsidP="00EC0AFB">
            <w:pPr>
              <w:cnfStyle w:val="000000000000" w:firstRow="0" w:lastRow="0" w:firstColumn="0" w:lastColumn="0" w:oddVBand="0" w:evenVBand="0" w:oddHBand="0" w:evenHBand="0" w:firstRowFirstColumn="0" w:firstRowLastColumn="0" w:lastRowFirstColumn="0" w:lastRowLastColumn="0"/>
            </w:pPr>
          </w:p>
          <w:p w14:paraId="29D724F8" w14:textId="049181EE" w:rsidR="005B5AC2" w:rsidRPr="00EC0AFB" w:rsidRDefault="005B5AC2" w:rsidP="00F02202">
            <w:pPr>
              <w:cnfStyle w:val="000000000000" w:firstRow="0" w:lastRow="0" w:firstColumn="0" w:lastColumn="0" w:oddVBand="0" w:evenVBand="0" w:oddHBand="0" w:evenHBand="0" w:firstRowFirstColumn="0" w:firstRowLastColumn="0" w:lastRowFirstColumn="0" w:lastRowLastColumn="0"/>
            </w:pPr>
          </w:p>
        </w:tc>
      </w:tr>
      <w:tr w:rsidR="002B19C3" w:rsidRPr="00FB5425" w14:paraId="7762BA18" w14:textId="77777777" w:rsidTr="00E1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6644E4A7" w14:textId="4A9664C1" w:rsidR="001E53BF" w:rsidRPr="00FB5425" w:rsidRDefault="001E53BF" w:rsidP="005B5AC2">
            <w:r w:rsidRPr="008C2F75">
              <w:rPr>
                <w:color w:val="auto"/>
              </w:rPr>
              <w:t># 4</w:t>
            </w:r>
          </w:p>
        </w:tc>
        <w:tc>
          <w:tcPr>
            <w:tcW w:w="6745" w:type="dxa"/>
          </w:tcPr>
          <w:p w14:paraId="546A7D7E" w14:textId="42F30EB0" w:rsidR="005F17F5" w:rsidRPr="001531C6" w:rsidRDefault="005F17F5" w:rsidP="005F17F5">
            <w:pPr>
              <w:cnfStyle w:val="000000100000" w:firstRow="0" w:lastRow="0" w:firstColumn="0" w:lastColumn="0" w:oddVBand="0" w:evenVBand="0" w:oddHBand="1" w:evenHBand="0" w:firstRowFirstColumn="0" w:firstRowLastColumn="0" w:lastRowFirstColumn="0" w:lastRowLastColumn="0"/>
              <w:rPr>
                <w:color w:val="auto"/>
              </w:rPr>
            </w:pPr>
            <w:r w:rsidRPr="001531C6">
              <w:rPr>
                <w:color w:val="auto"/>
              </w:rPr>
              <w:t>WHO Technical Officer provided a brief update on technical support to</w:t>
            </w:r>
            <w:r w:rsidR="001531C6" w:rsidRPr="001531C6">
              <w:rPr>
                <w:color w:val="auto"/>
              </w:rPr>
              <w:t xml:space="preserve"> </w:t>
            </w:r>
            <w:r w:rsidRPr="001531C6">
              <w:rPr>
                <w:color w:val="auto"/>
              </w:rPr>
              <w:t xml:space="preserve">the MOH, as follows:  </w:t>
            </w:r>
          </w:p>
          <w:p w14:paraId="2DD7B18C" w14:textId="77777777" w:rsidR="005F17F5" w:rsidRPr="001531C6" w:rsidRDefault="005F17F5" w:rsidP="001E53B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1531C6">
              <w:rPr>
                <w:color w:val="auto"/>
              </w:rPr>
              <w:t xml:space="preserve">Contracts for six personnel on Special Service Agreements (SSAs) have recently been renewed for a period of 6 months (January – June 2021). It is anticipated that WHO support for these positions will cease as support is expected through GF and MOH funding. </w:t>
            </w:r>
          </w:p>
          <w:p w14:paraId="6580684C" w14:textId="77777777" w:rsidR="001531C6" w:rsidRPr="001531C6" w:rsidRDefault="005F17F5" w:rsidP="001E53B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1531C6">
              <w:rPr>
                <w:color w:val="auto"/>
              </w:rPr>
              <w:t xml:space="preserve">Vanuatu has been invited to join the WHO Elimination 2025 Initiative based on their impressive success against malaria and in acknowledgement of the </w:t>
            </w:r>
            <w:r w:rsidR="001531C6" w:rsidRPr="001531C6">
              <w:rPr>
                <w:color w:val="auto"/>
              </w:rPr>
              <w:t xml:space="preserve">potential for national elimination and </w:t>
            </w:r>
            <w:r w:rsidR="001531C6" w:rsidRPr="001531C6">
              <w:rPr>
                <w:color w:val="auto"/>
              </w:rPr>
              <w:lastRenderedPageBreak/>
              <w:t xml:space="preserve">certification; a response and nomination are awaited from the Minster of Health. </w:t>
            </w:r>
          </w:p>
          <w:p w14:paraId="0D43B0B8" w14:textId="62860EAF" w:rsidR="001531C6" w:rsidRPr="001531C6" w:rsidRDefault="001531C6" w:rsidP="00023572">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1531C6">
              <w:rPr>
                <w:color w:val="auto"/>
              </w:rPr>
              <w:t>Unfortunately, WHO have not been able to commit to the provision of a STOP-malaria volunteer for Vanuatu.</w:t>
            </w:r>
          </w:p>
          <w:p w14:paraId="5506306B" w14:textId="77777777" w:rsidR="001531C6" w:rsidRPr="001531C6" w:rsidRDefault="001531C6" w:rsidP="001531C6">
            <w:pPr>
              <w:cnfStyle w:val="000000100000" w:firstRow="0" w:lastRow="0" w:firstColumn="0" w:lastColumn="0" w:oddVBand="0" w:evenVBand="0" w:oddHBand="1" w:evenHBand="0" w:firstRowFirstColumn="0" w:firstRowLastColumn="0" w:lastRowFirstColumn="0" w:lastRowLastColumn="0"/>
              <w:rPr>
                <w:color w:val="auto"/>
              </w:rPr>
            </w:pPr>
          </w:p>
          <w:p w14:paraId="69DD2DFE" w14:textId="256A9E8A" w:rsidR="005F17F5" w:rsidRPr="001531C6" w:rsidRDefault="001531C6" w:rsidP="001531C6">
            <w:pPr>
              <w:cnfStyle w:val="000000100000" w:firstRow="0" w:lastRow="0" w:firstColumn="0" w:lastColumn="0" w:oddVBand="0" w:evenVBand="0" w:oddHBand="1" w:evenHBand="0" w:firstRowFirstColumn="0" w:firstRowLastColumn="0" w:lastRowFirstColumn="0" w:lastRowLastColumn="0"/>
              <w:rPr>
                <w:color w:val="auto"/>
              </w:rPr>
            </w:pPr>
            <w:r w:rsidRPr="001531C6">
              <w:rPr>
                <w:color w:val="auto"/>
              </w:rPr>
              <w:t>M</w:t>
            </w:r>
            <w:r w:rsidR="005F17F5" w:rsidRPr="001531C6">
              <w:rPr>
                <w:color w:val="auto"/>
              </w:rPr>
              <w:t>OH Coordinator of VBDCP provided an additional update on opportunit</w:t>
            </w:r>
            <w:r w:rsidRPr="001531C6">
              <w:rPr>
                <w:color w:val="auto"/>
              </w:rPr>
              <w:t>i</w:t>
            </w:r>
            <w:r w:rsidR="005F17F5" w:rsidRPr="001531C6">
              <w:rPr>
                <w:color w:val="auto"/>
              </w:rPr>
              <w:t xml:space="preserve">es explored for surge technical assistance: </w:t>
            </w:r>
          </w:p>
          <w:p w14:paraId="70381AB1" w14:textId="77777777" w:rsidR="005F17F5" w:rsidRPr="001531C6" w:rsidRDefault="005F17F5" w:rsidP="005F17F5">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1531C6">
              <w:rPr>
                <w:color w:val="auto"/>
              </w:rPr>
              <w:t xml:space="preserve">An application to </w:t>
            </w:r>
            <w:r w:rsidR="001E53BF" w:rsidRPr="001531C6">
              <w:rPr>
                <w:color w:val="auto"/>
              </w:rPr>
              <w:t>Peace Corps</w:t>
            </w:r>
            <w:r w:rsidRPr="001531C6">
              <w:rPr>
                <w:color w:val="auto"/>
              </w:rPr>
              <w:t xml:space="preserve"> for support of two province-based volunteers was submitted earlier this year; feedback is awaited. </w:t>
            </w:r>
          </w:p>
          <w:p w14:paraId="7C04B94D" w14:textId="02919AD4" w:rsidR="001E53BF" w:rsidRPr="001531C6" w:rsidRDefault="005F17F5" w:rsidP="005F17F5">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1531C6">
              <w:rPr>
                <w:color w:val="auto"/>
              </w:rPr>
              <w:t xml:space="preserve">An application to Australia Volunteers for support of four provincial-based volunteers was submitted earlier this year; feedback is awaited though AV are not sending any additional personnel from Australia so this must be identified locally. </w:t>
            </w:r>
          </w:p>
        </w:tc>
        <w:tc>
          <w:tcPr>
            <w:tcW w:w="1705" w:type="dxa"/>
          </w:tcPr>
          <w:p w14:paraId="29B2B9F7" w14:textId="77777777" w:rsidR="001531C6" w:rsidRDefault="001531C6" w:rsidP="00B0425B">
            <w:pPr>
              <w:cnfStyle w:val="000000100000" w:firstRow="0" w:lastRow="0" w:firstColumn="0" w:lastColumn="0" w:oddVBand="0" w:evenVBand="0" w:oddHBand="1" w:evenHBand="0" w:firstRowFirstColumn="0" w:firstRowLastColumn="0" w:lastRowFirstColumn="0" w:lastRowLastColumn="0"/>
              <w:rPr>
                <w:color w:val="auto"/>
              </w:rPr>
            </w:pPr>
          </w:p>
          <w:p w14:paraId="193B651F" w14:textId="77777777" w:rsidR="001531C6" w:rsidRDefault="001531C6" w:rsidP="00B0425B">
            <w:pPr>
              <w:cnfStyle w:val="000000100000" w:firstRow="0" w:lastRow="0" w:firstColumn="0" w:lastColumn="0" w:oddVBand="0" w:evenVBand="0" w:oddHBand="1" w:evenHBand="0" w:firstRowFirstColumn="0" w:firstRowLastColumn="0" w:lastRowFirstColumn="0" w:lastRowLastColumn="0"/>
              <w:rPr>
                <w:color w:val="auto"/>
              </w:rPr>
            </w:pPr>
          </w:p>
          <w:p w14:paraId="078E4B47" w14:textId="77777777" w:rsidR="001531C6" w:rsidRDefault="001531C6" w:rsidP="00B0425B">
            <w:pPr>
              <w:cnfStyle w:val="000000100000" w:firstRow="0" w:lastRow="0" w:firstColumn="0" w:lastColumn="0" w:oddVBand="0" w:evenVBand="0" w:oddHBand="1" w:evenHBand="0" w:firstRowFirstColumn="0" w:firstRowLastColumn="0" w:lastRowFirstColumn="0" w:lastRowLastColumn="0"/>
              <w:rPr>
                <w:color w:val="auto"/>
              </w:rPr>
            </w:pPr>
          </w:p>
          <w:p w14:paraId="58466140" w14:textId="77777777" w:rsidR="001531C6" w:rsidRDefault="001531C6" w:rsidP="00B0425B">
            <w:pPr>
              <w:cnfStyle w:val="000000100000" w:firstRow="0" w:lastRow="0" w:firstColumn="0" w:lastColumn="0" w:oddVBand="0" w:evenVBand="0" w:oddHBand="1" w:evenHBand="0" w:firstRowFirstColumn="0" w:firstRowLastColumn="0" w:lastRowFirstColumn="0" w:lastRowLastColumn="0"/>
              <w:rPr>
                <w:color w:val="auto"/>
              </w:rPr>
            </w:pPr>
          </w:p>
          <w:p w14:paraId="6AEDB940" w14:textId="77777777" w:rsidR="001531C6" w:rsidRDefault="001531C6" w:rsidP="00B0425B">
            <w:pPr>
              <w:cnfStyle w:val="000000100000" w:firstRow="0" w:lastRow="0" w:firstColumn="0" w:lastColumn="0" w:oddVBand="0" w:evenVBand="0" w:oddHBand="1" w:evenHBand="0" w:firstRowFirstColumn="0" w:firstRowLastColumn="0" w:lastRowFirstColumn="0" w:lastRowLastColumn="0"/>
              <w:rPr>
                <w:color w:val="auto"/>
              </w:rPr>
            </w:pPr>
          </w:p>
          <w:p w14:paraId="46327B57" w14:textId="77777777" w:rsidR="001531C6" w:rsidRDefault="001531C6" w:rsidP="00B0425B">
            <w:pPr>
              <w:cnfStyle w:val="000000100000" w:firstRow="0" w:lastRow="0" w:firstColumn="0" w:lastColumn="0" w:oddVBand="0" w:evenVBand="0" w:oddHBand="1" w:evenHBand="0" w:firstRowFirstColumn="0" w:firstRowLastColumn="0" w:lastRowFirstColumn="0" w:lastRowLastColumn="0"/>
              <w:rPr>
                <w:color w:val="auto"/>
              </w:rPr>
            </w:pPr>
          </w:p>
          <w:p w14:paraId="0BCFFA89" w14:textId="4F26BDCA" w:rsidR="005F17F5" w:rsidRDefault="001531C6" w:rsidP="00B0425B">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Follow up on response of Minister to </w:t>
            </w:r>
            <w:r>
              <w:rPr>
                <w:color w:val="auto"/>
              </w:rPr>
              <w:lastRenderedPageBreak/>
              <w:t xml:space="preserve">WHO invitation to E-2025 – MOH </w:t>
            </w:r>
          </w:p>
          <w:p w14:paraId="1C4BDE07" w14:textId="25917EBF" w:rsidR="001531C6" w:rsidRDefault="001531C6" w:rsidP="00B0425B">
            <w:pPr>
              <w:cnfStyle w:val="000000100000" w:firstRow="0" w:lastRow="0" w:firstColumn="0" w:lastColumn="0" w:oddVBand="0" w:evenVBand="0" w:oddHBand="1" w:evenHBand="0" w:firstRowFirstColumn="0" w:firstRowLastColumn="0" w:lastRowFirstColumn="0" w:lastRowLastColumn="0"/>
              <w:rPr>
                <w:color w:val="auto"/>
              </w:rPr>
            </w:pPr>
          </w:p>
          <w:p w14:paraId="59B834CF" w14:textId="77777777" w:rsidR="001531C6" w:rsidRDefault="001531C6" w:rsidP="00B0425B">
            <w:pPr>
              <w:cnfStyle w:val="000000100000" w:firstRow="0" w:lastRow="0" w:firstColumn="0" w:lastColumn="0" w:oddVBand="0" w:evenVBand="0" w:oddHBand="1" w:evenHBand="0" w:firstRowFirstColumn="0" w:firstRowLastColumn="0" w:lastRowFirstColumn="0" w:lastRowLastColumn="0"/>
              <w:rPr>
                <w:color w:val="auto"/>
              </w:rPr>
            </w:pPr>
          </w:p>
          <w:p w14:paraId="3DBC5091" w14:textId="77777777" w:rsidR="005F17F5" w:rsidRDefault="005F17F5" w:rsidP="00B0425B">
            <w:pPr>
              <w:cnfStyle w:val="000000100000" w:firstRow="0" w:lastRow="0" w:firstColumn="0" w:lastColumn="0" w:oddVBand="0" w:evenVBand="0" w:oddHBand="1" w:evenHBand="0" w:firstRowFirstColumn="0" w:firstRowLastColumn="0" w:lastRowFirstColumn="0" w:lastRowLastColumn="0"/>
              <w:rPr>
                <w:color w:val="auto"/>
              </w:rPr>
            </w:pPr>
          </w:p>
          <w:p w14:paraId="47C15711" w14:textId="77777777" w:rsidR="005F17F5" w:rsidRDefault="005F17F5" w:rsidP="00B0425B">
            <w:pPr>
              <w:cnfStyle w:val="000000100000" w:firstRow="0" w:lastRow="0" w:firstColumn="0" w:lastColumn="0" w:oddVBand="0" w:evenVBand="0" w:oddHBand="1" w:evenHBand="0" w:firstRowFirstColumn="0" w:firstRowLastColumn="0" w:lastRowFirstColumn="0" w:lastRowLastColumn="0"/>
              <w:rPr>
                <w:color w:val="auto"/>
              </w:rPr>
            </w:pPr>
          </w:p>
          <w:p w14:paraId="5C45A89F" w14:textId="7C6B9F0B" w:rsidR="001E53BF" w:rsidRDefault="005F17F5" w:rsidP="00B0425B">
            <w:pPr>
              <w:cnfStyle w:val="000000100000" w:firstRow="0" w:lastRow="0" w:firstColumn="0" w:lastColumn="0" w:oddVBand="0" w:evenVBand="0" w:oddHBand="1" w:evenHBand="0" w:firstRowFirstColumn="0" w:firstRowLastColumn="0" w:lastRowFirstColumn="0" w:lastRowLastColumn="0"/>
            </w:pPr>
            <w:r w:rsidRPr="005F17F5">
              <w:rPr>
                <w:color w:val="auto"/>
              </w:rPr>
              <w:t>Follow up on status of requests for volunteers – MOH/WHO</w:t>
            </w:r>
          </w:p>
        </w:tc>
      </w:tr>
      <w:tr w:rsidR="002B19C3" w:rsidRPr="00FB5425" w14:paraId="306F4F88" w14:textId="77777777" w:rsidTr="00E161DB">
        <w:tc>
          <w:tcPr>
            <w:cnfStyle w:val="001000000000" w:firstRow="0" w:lastRow="0" w:firstColumn="1" w:lastColumn="0" w:oddVBand="0" w:evenVBand="0" w:oddHBand="0" w:evenHBand="0" w:firstRowFirstColumn="0" w:firstRowLastColumn="0" w:lastRowFirstColumn="0" w:lastRowLastColumn="0"/>
            <w:tcW w:w="910" w:type="dxa"/>
          </w:tcPr>
          <w:p w14:paraId="67C5261C" w14:textId="78CF7A5E" w:rsidR="005B5AC2" w:rsidRPr="00FB5425" w:rsidRDefault="005B5AC2" w:rsidP="005B5AC2">
            <w:pPr>
              <w:rPr>
                <w:color w:val="auto"/>
              </w:rPr>
            </w:pPr>
            <w:r w:rsidRPr="00FB5425">
              <w:rPr>
                <w:color w:val="auto"/>
              </w:rPr>
              <w:lastRenderedPageBreak/>
              <w:t xml:space="preserve"># </w:t>
            </w:r>
            <w:r w:rsidR="001E53BF">
              <w:rPr>
                <w:color w:val="auto"/>
              </w:rPr>
              <w:t>5</w:t>
            </w:r>
          </w:p>
        </w:tc>
        <w:tc>
          <w:tcPr>
            <w:tcW w:w="6745" w:type="dxa"/>
          </w:tcPr>
          <w:p w14:paraId="10EE6F5B" w14:textId="2632A783" w:rsidR="00194ED7" w:rsidRPr="001E53BF" w:rsidRDefault="009B4B98" w:rsidP="001363C6">
            <w:pPr>
              <w:cnfStyle w:val="000000000000" w:firstRow="0" w:lastRow="0" w:firstColumn="0" w:lastColumn="0" w:oddVBand="0" w:evenVBand="0" w:oddHBand="0" w:evenHBand="0" w:firstRowFirstColumn="0" w:firstRowLastColumn="0" w:lastRowFirstColumn="0" w:lastRowLastColumn="0"/>
              <w:rPr>
                <w:color w:val="auto"/>
              </w:rPr>
            </w:pPr>
            <w:r w:rsidRPr="001E53BF">
              <w:rPr>
                <w:color w:val="auto"/>
              </w:rPr>
              <w:t xml:space="preserve">Two other orders of business were raised: </w:t>
            </w:r>
          </w:p>
          <w:p w14:paraId="3129EF31" w14:textId="53B5988D" w:rsidR="00CC12E1" w:rsidRDefault="001E53BF" w:rsidP="001E53BF">
            <w:pPr>
              <w:cnfStyle w:val="000000000000" w:firstRow="0" w:lastRow="0" w:firstColumn="0" w:lastColumn="0" w:oddVBand="0" w:evenVBand="0" w:oddHBand="0" w:evenHBand="0" w:firstRowFirstColumn="0" w:firstRowLastColumn="0" w:lastRowFirstColumn="0" w:lastRowLastColumn="0"/>
              <w:rPr>
                <w:color w:val="auto"/>
              </w:rPr>
            </w:pPr>
            <w:r w:rsidRPr="001E53BF">
              <w:rPr>
                <w:color w:val="auto"/>
              </w:rPr>
              <w:t xml:space="preserve">1. </w:t>
            </w:r>
            <w:r w:rsidR="009B4B98" w:rsidRPr="001E53BF">
              <w:rPr>
                <w:color w:val="auto"/>
              </w:rPr>
              <w:t xml:space="preserve"> </w:t>
            </w:r>
            <w:proofErr w:type="spellStart"/>
            <w:r w:rsidR="001531C6" w:rsidRPr="00772DB6">
              <w:rPr>
                <w:i/>
                <w:color w:val="auto"/>
              </w:rPr>
              <w:t>PacMOSSI</w:t>
            </w:r>
            <w:proofErr w:type="spellEnd"/>
            <w:r w:rsidR="001531C6" w:rsidRPr="00772DB6">
              <w:rPr>
                <w:i/>
                <w:color w:val="auto"/>
              </w:rPr>
              <w:t>:</w:t>
            </w:r>
            <w:r w:rsidR="001531C6">
              <w:rPr>
                <w:color w:val="auto"/>
              </w:rPr>
              <w:t xml:space="preserve"> JCU </w:t>
            </w:r>
            <w:r w:rsidR="00772DB6">
              <w:rPr>
                <w:color w:val="auto"/>
              </w:rPr>
              <w:t>Senior Research Fellow introduced the DFAT-supported consortium project and reiterated that this may provide a good opportunity for capacity building on vector surveillance and data use to address the remaining malaria transmission in Vanuatu (and also assist with dengue control). Comprehensive online training modules are under development, and should become available in 2021. This may offer opportunities for South-South collaboration given the advanced capacity of Vanuatu particularly in</w:t>
            </w:r>
            <w:r w:rsidR="00772DB6" w:rsidRPr="00772DB6">
              <w:rPr>
                <w:i/>
                <w:color w:val="auto"/>
              </w:rPr>
              <w:t xml:space="preserve"> Aedes</w:t>
            </w:r>
            <w:r w:rsidR="00772DB6">
              <w:rPr>
                <w:color w:val="auto"/>
              </w:rPr>
              <w:t xml:space="preserve"> surveillance.</w:t>
            </w:r>
          </w:p>
          <w:p w14:paraId="78AA33A8" w14:textId="77777777" w:rsidR="00772DB6" w:rsidRDefault="00772DB6" w:rsidP="001E53BF">
            <w:pPr>
              <w:cnfStyle w:val="000000000000" w:firstRow="0" w:lastRow="0" w:firstColumn="0" w:lastColumn="0" w:oddVBand="0" w:evenVBand="0" w:oddHBand="0" w:evenHBand="0" w:firstRowFirstColumn="0" w:firstRowLastColumn="0" w:lastRowFirstColumn="0" w:lastRowLastColumn="0"/>
              <w:rPr>
                <w:color w:val="auto"/>
              </w:rPr>
            </w:pPr>
          </w:p>
          <w:p w14:paraId="1153FE21" w14:textId="046BDB8C" w:rsidR="007E7D8C" w:rsidRPr="001E53BF" w:rsidRDefault="00772DB6" w:rsidP="00772DB6">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2. </w:t>
            </w:r>
            <w:r w:rsidRPr="00772DB6">
              <w:rPr>
                <w:i/>
                <w:color w:val="auto"/>
              </w:rPr>
              <w:t>Vector surveillance:</w:t>
            </w:r>
            <w:r>
              <w:rPr>
                <w:color w:val="auto"/>
              </w:rPr>
              <w:t xml:space="preserve"> JCU Senior Research Fellow requested further information on plans and ongoing work particularly that targeting hotspot areas to determine the causes of residual transmission. </w:t>
            </w:r>
          </w:p>
        </w:tc>
        <w:tc>
          <w:tcPr>
            <w:tcW w:w="1705" w:type="dxa"/>
          </w:tcPr>
          <w:p w14:paraId="1966FD7F" w14:textId="77777777" w:rsidR="00772DB6" w:rsidRDefault="00772DB6" w:rsidP="00B0425B">
            <w:pPr>
              <w:cnfStyle w:val="000000000000" w:firstRow="0" w:lastRow="0" w:firstColumn="0" w:lastColumn="0" w:oddVBand="0" w:evenVBand="0" w:oddHBand="0" w:evenHBand="0" w:firstRowFirstColumn="0" w:firstRowLastColumn="0" w:lastRowFirstColumn="0" w:lastRowLastColumn="0"/>
              <w:rPr>
                <w:color w:val="auto"/>
              </w:rPr>
            </w:pPr>
          </w:p>
          <w:p w14:paraId="5E48F86D" w14:textId="6D056E78" w:rsidR="005B5AC2" w:rsidRPr="001E53BF" w:rsidRDefault="00772DB6" w:rsidP="00B0425B">
            <w:pPr>
              <w:cnfStyle w:val="000000000000" w:firstRow="0" w:lastRow="0" w:firstColumn="0" w:lastColumn="0" w:oddVBand="0" w:evenVBand="0" w:oddHBand="0" w:evenHBand="0" w:firstRowFirstColumn="0" w:firstRowLastColumn="0" w:lastRowFirstColumn="0" w:lastRowLastColumn="0"/>
              <w:rPr>
                <w:color w:val="auto"/>
              </w:rPr>
            </w:pPr>
            <w:r>
              <w:rPr>
                <w:color w:val="auto"/>
              </w:rPr>
              <w:t>Circulate the vector surveillance + vector control M&amp;E plan - MOH</w:t>
            </w:r>
          </w:p>
        </w:tc>
      </w:tr>
      <w:tr w:rsidR="002B19C3" w:rsidRPr="004B2BA9" w14:paraId="3D21FE6B" w14:textId="77777777" w:rsidTr="00E16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1AE6AE8" w14:textId="04DE6889" w:rsidR="004B2BA9" w:rsidRPr="004B2BA9" w:rsidRDefault="00F91DCD" w:rsidP="005B5AC2">
            <w:pPr>
              <w:rPr>
                <w:color w:val="auto"/>
              </w:rPr>
            </w:pPr>
            <w:r>
              <w:rPr>
                <w:color w:val="auto"/>
              </w:rPr>
              <w:t>Close</w:t>
            </w:r>
          </w:p>
        </w:tc>
        <w:tc>
          <w:tcPr>
            <w:tcW w:w="6745" w:type="dxa"/>
          </w:tcPr>
          <w:p w14:paraId="0B480334" w14:textId="13B1B7C8" w:rsidR="007E7D8C" w:rsidRPr="004B2BA9" w:rsidRDefault="00401BDB" w:rsidP="00772DB6">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MOH </w:t>
            </w:r>
            <w:r w:rsidR="00640C31">
              <w:rPr>
                <w:color w:val="auto"/>
              </w:rPr>
              <w:t>D</w:t>
            </w:r>
            <w:r w:rsidR="001E53BF">
              <w:rPr>
                <w:color w:val="auto"/>
              </w:rPr>
              <w:t xml:space="preserve">irector of Public Health </w:t>
            </w:r>
            <w:r>
              <w:rPr>
                <w:color w:val="auto"/>
              </w:rPr>
              <w:t xml:space="preserve">again thanked all </w:t>
            </w:r>
            <w:r w:rsidR="008C1A15">
              <w:rPr>
                <w:color w:val="auto"/>
              </w:rPr>
              <w:t xml:space="preserve">MEAG members and </w:t>
            </w:r>
            <w:r>
              <w:rPr>
                <w:color w:val="auto"/>
              </w:rPr>
              <w:t xml:space="preserve">partners for </w:t>
            </w:r>
            <w:r w:rsidR="00772DB6">
              <w:rPr>
                <w:color w:val="auto"/>
              </w:rPr>
              <w:t xml:space="preserve">all the support provided throughout the course of 2020 despite other priorities. He indicated it has been a wonderful and collective effort forged through strong partnerships with a shared vision and drive, and that the same level of commitment, partnership and friendship would </w:t>
            </w:r>
            <w:r w:rsidR="008A76A0">
              <w:rPr>
                <w:color w:val="auto"/>
              </w:rPr>
              <w:t xml:space="preserve">also </w:t>
            </w:r>
            <w:r w:rsidR="00772DB6">
              <w:rPr>
                <w:color w:val="auto"/>
              </w:rPr>
              <w:t>be appreciated going into 2021. The meeting was closed, with well wishes</w:t>
            </w:r>
            <w:r w:rsidR="008A76A0">
              <w:rPr>
                <w:color w:val="auto"/>
              </w:rPr>
              <w:t xml:space="preserve"> to all</w:t>
            </w:r>
            <w:r w:rsidR="00772DB6">
              <w:rPr>
                <w:color w:val="auto"/>
              </w:rPr>
              <w:t xml:space="preserve"> for a restful break. </w:t>
            </w:r>
          </w:p>
        </w:tc>
        <w:tc>
          <w:tcPr>
            <w:tcW w:w="1705" w:type="dxa"/>
          </w:tcPr>
          <w:p w14:paraId="64AF88DA" w14:textId="77777777" w:rsidR="004B2BA9" w:rsidRPr="004B2BA9" w:rsidRDefault="004B2BA9" w:rsidP="00B0425B">
            <w:pPr>
              <w:cnfStyle w:val="000000100000" w:firstRow="0" w:lastRow="0" w:firstColumn="0" w:lastColumn="0" w:oddVBand="0" w:evenVBand="0" w:oddHBand="1" w:evenHBand="0" w:firstRowFirstColumn="0" w:firstRowLastColumn="0" w:lastRowFirstColumn="0" w:lastRowLastColumn="0"/>
              <w:rPr>
                <w:color w:val="auto"/>
              </w:rPr>
            </w:pPr>
          </w:p>
        </w:tc>
      </w:tr>
    </w:tbl>
    <w:p w14:paraId="7518CE77" w14:textId="77777777" w:rsidR="00772DB6" w:rsidRDefault="00772DB6" w:rsidP="003267C6">
      <w:pPr>
        <w:rPr>
          <w:b/>
        </w:rPr>
      </w:pPr>
    </w:p>
    <w:p w14:paraId="71D812AE" w14:textId="0FB38598" w:rsidR="00EF40D6" w:rsidRDefault="00D97289" w:rsidP="003267C6">
      <w:r w:rsidRPr="00D97289">
        <w:rPr>
          <w:b/>
        </w:rPr>
        <w:t>M</w:t>
      </w:r>
      <w:r w:rsidR="00255F3A">
        <w:rPr>
          <w:b/>
        </w:rPr>
        <w:t>eeting end</w:t>
      </w:r>
      <w:r w:rsidR="004B2BA9">
        <w:rPr>
          <w:b/>
        </w:rPr>
        <w:t>ed</w:t>
      </w:r>
      <w:r w:rsidRPr="00D97289">
        <w:rPr>
          <w:b/>
        </w:rPr>
        <w:t>:</w:t>
      </w:r>
      <w:r>
        <w:t xml:space="preserve"> </w:t>
      </w:r>
      <w:r w:rsidR="00613655">
        <w:t>1</w:t>
      </w:r>
      <w:r w:rsidR="001E53BF">
        <w:t>0:35 am</w:t>
      </w:r>
    </w:p>
    <w:sectPr w:rsidR="00EF40D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CFDF6" w14:textId="77777777" w:rsidR="006D579C" w:rsidRDefault="006D579C" w:rsidP="00D97289">
      <w:pPr>
        <w:spacing w:after="0" w:line="240" w:lineRule="auto"/>
      </w:pPr>
      <w:r>
        <w:separator/>
      </w:r>
    </w:p>
  </w:endnote>
  <w:endnote w:type="continuationSeparator" w:id="0">
    <w:p w14:paraId="56CA594D" w14:textId="77777777" w:rsidR="006D579C" w:rsidRDefault="006D579C" w:rsidP="00D9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CDCAF" w14:textId="77777777" w:rsidR="00D33CB0" w:rsidRDefault="00D33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A2EE" w14:textId="77777777" w:rsidR="00D33CB0" w:rsidRDefault="00D33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D856" w14:textId="77777777" w:rsidR="00D33CB0" w:rsidRDefault="00D33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80962" w14:textId="77777777" w:rsidR="006D579C" w:rsidRDefault="006D579C" w:rsidP="00D97289">
      <w:pPr>
        <w:spacing w:after="0" w:line="240" w:lineRule="auto"/>
      </w:pPr>
      <w:r>
        <w:separator/>
      </w:r>
    </w:p>
  </w:footnote>
  <w:footnote w:type="continuationSeparator" w:id="0">
    <w:p w14:paraId="68EBDE2A" w14:textId="77777777" w:rsidR="006D579C" w:rsidRDefault="006D579C" w:rsidP="00D97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7206" w14:textId="77777777" w:rsidR="00D33CB0" w:rsidRDefault="00D33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492F" w14:textId="6ED5BC08" w:rsidR="00D97289" w:rsidRDefault="00E03062">
    <w:pPr>
      <w:pStyle w:val="Header"/>
    </w:pPr>
    <w:r>
      <w:t>MEAG</w:t>
    </w:r>
    <w:r w:rsidR="002972D6">
      <w:t>-</w:t>
    </w:r>
    <w:r w:rsidR="00D97289">
      <w:t>Meeting</w:t>
    </w:r>
    <w:r w:rsidR="00CB13BD">
      <w:t>4</w:t>
    </w:r>
    <w:r w:rsidR="00D97289">
      <w:t xml:space="preserve"> </w:t>
    </w:r>
    <w:r w:rsidR="00CB13BD">
      <w:t>1712</w:t>
    </w:r>
    <w:r>
      <w:t>2020</w:t>
    </w:r>
    <w:r w:rsidR="00D33CB0">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9A97" w14:textId="77777777" w:rsidR="00D33CB0" w:rsidRDefault="00D33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8DB7"/>
      </v:shape>
    </w:pict>
  </w:numPicBullet>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A21FE6"/>
    <w:multiLevelType w:val="hybridMultilevel"/>
    <w:tmpl w:val="9DC652E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66FCD"/>
    <w:multiLevelType w:val="hybridMultilevel"/>
    <w:tmpl w:val="0F7C5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8D35FA"/>
    <w:multiLevelType w:val="hybridMultilevel"/>
    <w:tmpl w:val="5E7E7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59588B"/>
    <w:multiLevelType w:val="hybridMultilevel"/>
    <w:tmpl w:val="07E671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641877"/>
    <w:multiLevelType w:val="hybridMultilevel"/>
    <w:tmpl w:val="7E2E11E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347B12"/>
    <w:multiLevelType w:val="hybridMultilevel"/>
    <w:tmpl w:val="2E76D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3504D2"/>
    <w:multiLevelType w:val="hybridMultilevel"/>
    <w:tmpl w:val="2738F55A"/>
    <w:lvl w:ilvl="0" w:tplc="1E809D96">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486F3E"/>
    <w:multiLevelType w:val="hybridMultilevel"/>
    <w:tmpl w:val="E83625C2"/>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87511C"/>
    <w:multiLevelType w:val="hybridMultilevel"/>
    <w:tmpl w:val="CFE63CC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BF524C"/>
    <w:multiLevelType w:val="hybridMultilevel"/>
    <w:tmpl w:val="FC5AC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327B6"/>
    <w:multiLevelType w:val="hybridMultilevel"/>
    <w:tmpl w:val="79227F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AF7D16"/>
    <w:multiLevelType w:val="hybridMultilevel"/>
    <w:tmpl w:val="A53A3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CD56DA"/>
    <w:multiLevelType w:val="hybridMultilevel"/>
    <w:tmpl w:val="8CCC1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6A61F7"/>
    <w:multiLevelType w:val="hybridMultilevel"/>
    <w:tmpl w:val="3BDA8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15:restartNumberingAfterBreak="0">
    <w:nsid w:val="27AD6285"/>
    <w:multiLevelType w:val="hybridMultilevel"/>
    <w:tmpl w:val="A3104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54357A"/>
    <w:multiLevelType w:val="hybridMultilevel"/>
    <w:tmpl w:val="A6220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3569D2"/>
    <w:multiLevelType w:val="hybridMultilevel"/>
    <w:tmpl w:val="F886CD4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5D2744"/>
    <w:multiLevelType w:val="hybridMultilevel"/>
    <w:tmpl w:val="173CC4DC"/>
    <w:lvl w:ilvl="0" w:tplc="04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872628"/>
    <w:multiLevelType w:val="hybridMultilevel"/>
    <w:tmpl w:val="95320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E64D8B"/>
    <w:multiLevelType w:val="hybridMultilevel"/>
    <w:tmpl w:val="4C082FB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A571FD"/>
    <w:multiLevelType w:val="hybridMultilevel"/>
    <w:tmpl w:val="4E58F06E"/>
    <w:lvl w:ilvl="0" w:tplc="E9201B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B4649C"/>
    <w:multiLevelType w:val="hybridMultilevel"/>
    <w:tmpl w:val="1332B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C9078C"/>
    <w:multiLevelType w:val="hybridMultilevel"/>
    <w:tmpl w:val="79AAF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4E3ABA"/>
    <w:multiLevelType w:val="hybridMultilevel"/>
    <w:tmpl w:val="BF40A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396E3F"/>
    <w:multiLevelType w:val="hybridMultilevel"/>
    <w:tmpl w:val="866C4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0390608"/>
    <w:multiLevelType w:val="hybridMultilevel"/>
    <w:tmpl w:val="5D2A9AE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0A620B"/>
    <w:multiLevelType w:val="hybridMultilevel"/>
    <w:tmpl w:val="F462F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2C6F4B"/>
    <w:multiLevelType w:val="hybridMultilevel"/>
    <w:tmpl w:val="9B8A777C"/>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451A94"/>
    <w:multiLevelType w:val="hybridMultilevel"/>
    <w:tmpl w:val="A5460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3D44B6"/>
    <w:multiLevelType w:val="hybridMultilevel"/>
    <w:tmpl w:val="7CC89D8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AB54D1E"/>
    <w:multiLevelType w:val="hybridMultilevel"/>
    <w:tmpl w:val="5CE67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DB842A5"/>
    <w:multiLevelType w:val="hybridMultilevel"/>
    <w:tmpl w:val="D08C03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1C36179"/>
    <w:multiLevelType w:val="hybridMultilevel"/>
    <w:tmpl w:val="46BAB3A4"/>
    <w:lvl w:ilvl="0" w:tplc="1E1C8B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832EDA"/>
    <w:multiLevelType w:val="hybridMultilevel"/>
    <w:tmpl w:val="C1FC6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AD00FB"/>
    <w:multiLevelType w:val="hybridMultilevel"/>
    <w:tmpl w:val="B50AF6C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CE12E2"/>
    <w:multiLevelType w:val="hybridMultilevel"/>
    <w:tmpl w:val="C25E4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93211C"/>
    <w:multiLevelType w:val="hybridMultilevel"/>
    <w:tmpl w:val="CE2C104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8" w15:restartNumberingAfterBreak="0">
    <w:nsid w:val="665C2D1A"/>
    <w:multiLevelType w:val="hybridMultilevel"/>
    <w:tmpl w:val="E3F01B0C"/>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6BA4517"/>
    <w:multiLevelType w:val="hybridMultilevel"/>
    <w:tmpl w:val="8132C46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27293E"/>
    <w:multiLevelType w:val="hybridMultilevel"/>
    <w:tmpl w:val="F95E3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695D54"/>
    <w:multiLevelType w:val="hybridMultilevel"/>
    <w:tmpl w:val="640821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F766B5"/>
    <w:multiLevelType w:val="hybridMultilevel"/>
    <w:tmpl w:val="14240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EAC04C6"/>
    <w:multiLevelType w:val="hybridMultilevel"/>
    <w:tmpl w:val="3B080006"/>
    <w:lvl w:ilvl="0" w:tplc="E9201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23655E"/>
    <w:multiLevelType w:val="hybridMultilevel"/>
    <w:tmpl w:val="7E4C929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C053B9"/>
    <w:multiLevelType w:val="hybridMultilevel"/>
    <w:tmpl w:val="6D12D5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AB6AF7"/>
    <w:multiLevelType w:val="hybridMultilevel"/>
    <w:tmpl w:val="926C9C7E"/>
    <w:lvl w:ilvl="0" w:tplc="04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C730A4C"/>
    <w:multiLevelType w:val="hybridMultilevel"/>
    <w:tmpl w:val="551209E2"/>
    <w:lvl w:ilvl="0" w:tplc="1E1C8B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47"/>
  </w:num>
  <w:num w:numId="4">
    <w:abstractNumId w:val="44"/>
  </w:num>
  <w:num w:numId="5">
    <w:abstractNumId w:val="2"/>
  </w:num>
  <w:num w:numId="6">
    <w:abstractNumId w:val="13"/>
  </w:num>
  <w:num w:numId="7">
    <w:abstractNumId w:val="19"/>
  </w:num>
  <w:num w:numId="8">
    <w:abstractNumId w:val="34"/>
  </w:num>
  <w:num w:numId="9">
    <w:abstractNumId w:val="35"/>
  </w:num>
  <w:num w:numId="10">
    <w:abstractNumId w:val="9"/>
  </w:num>
  <w:num w:numId="11">
    <w:abstractNumId w:val="39"/>
  </w:num>
  <w:num w:numId="12">
    <w:abstractNumId w:val="26"/>
  </w:num>
  <w:num w:numId="13">
    <w:abstractNumId w:val="20"/>
  </w:num>
  <w:num w:numId="14">
    <w:abstractNumId w:val="21"/>
  </w:num>
  <w:num w:numId="15">
    <w:abstractNumId w:val="15"/>
  </w:num>
  <w:num w:numId="16">
    <w:abstractNumId w:val="6"/>
  </w:num>
  <w:num w:numId="17">
    <w:abstractNumId w:val="12"/>
  </w:num>
  <w:num w:numId="18">
    <w:abstractNumId w:val="28"/>
  </w:num>
  <w:num w:numId="19">
    <w:abstractNumId w:val="8"/>
  </w:num>
  <w:num w:numId="20">
    <w:abstractNumId w:val="38"/>
  </w:num>
  <w:num w:numId="21">
    <w:abstractNumId w:val="22"/>
  </w:num>
  <w:num w:numId="22">
    <w:abstractNumId w:val="46"/>
  </w:num>
  <w:num w:numId="23">
    <w:abstractNumId w:val="18"/>
  </w:num>
  <w:num w:numId="24">
    <w:abstractNumId w:val="5"/>
  </w:num>
  <w:num w:numId="25">
    <w:abstractNumId w:val="41"/>
  </w:num>
  <w:num w:numId="26">
    <w:abstractNumId w:val="32"/>
  </w:num>
  <w:num w:numId="27">
    <w:abstractNumId w:val="40"/>
  </w:num>
  <w:num w:numId="28">
    <w:abstractNumId w:val="1"/>
  </w:num>
  <w:num w:numId="29">
    <w:abstractNumId w:val="16"/>
  </w:num>
  <w:num w:numId="30">
    <w:abstractNumId w:val="27"/>
  </w:num>
  <w:num w:numId="31">
    <w:abstractNumId w:val="17"/>
  </w:num>
  <w:num w:numId="32">
    <w:abstractNumId w:val="30"/>
  </w:num>
  <w:num w:numId="33">
    <w:abstractNumId w:val="23"/>
  </w:num>
  <w:num w:numId="34">
    <w:abstractNumId w:val="37"/>
  </w:num>
  <w:num w:numId="35">
    <w:abstractNumId w:val="14"/>
  </w:num>
  <w:num w:numId="36">
    <w:abstractNumId w:val="31"/>
  </w:num>
  <w:num w:numId="37">
    <w:abstractNumId w:val="36"/>
  </w:num>
  <w:num w:numId="38">
    <w:abstractNumId w:val="25"/>
  </w:num>
  <w:num w:numId="39">
    <w:abstractNumId w:val="11"/>
  </w:num>
  <w:num w:numId="40">
    <w:abstractNumId w:val="0"/>
  </w:num>
  <w:num w:numId="41">
    <w:abstractNumId w:val="3"/>
  </w:num>
  <w:num w:numId="42">
    <w:abstractNumId w:val="29"/>
  </w:num>
  <w:num w:numId="43">
    <w:abstractNumId w:val="7"/>
  </w:num>
  <w:num w:numId="44">
    <w:abstractNumId w:val="10"/>
  </w:num>
  <w:num w:numId="45">
    <w:abstractNumId w:val="24"/>
  </w:num>
  <w:num w:numId="46">
    <w:abstractNumId w:val="4"/>
  </w:num>
  <w:num w:numId="47">
    <w:abstractNumId w:val="4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B0"/>
    <w:rsid w:val="00017901"/>
    <w:rsid w:val="00020E82"/>
    <w:rsid w:val="0002261B"/>
    <w:rsid w:val="0003068B"/>
    <w:rsid w:val="000329D4"/>
    <w:rsid w:val="00033F11"/>
    <w:rsid w:val="00045C83"/>
    <w:rsid w:val="00047735"/>
    <w:rsid w:val="0007450C"/>
    <w:rsid w:val="000903CA"/>
    <w:rsid w:val="000926E7"/>
    <w:rsid w:val="00092C46"/>
    <w:rsid w:val="000A0469"/>
    <w:rsid w:val="000F2239"/>
    <w:rsid w:val="0010216C"/>
    <w:rsid w:val="00113785"/>
    <w:rsid w:val="00116F85"/>
    <w:rsid w:val="00117B19"/>
    <w:rsid w:val="001363C6"/>
    <w:rsid w:val="00140202"/>
    <w:rsid w:val="00144D0B"/>
    <w:rsid w:val="00144E25"/>
    <w:rsid w:val="001531C6"/>
    <w:rsid w:val="0015520A"/>
    <w:rsid w:val="00165EE3"/>
    <w:rsid w:val="00194ED7"/>
    <w:rsid w:val="001C3041"/>
    <w:rsid w:val="001D2C31"/>
    <w:rsid w:val="001D4957"/>
    <w:rsid w:val="001E30DC"/>
    <w:rsid w:val="001E53BF"/>
    <w:rsid w:val="001F0C39"/>
    <w:rsid w:val="001F454D"/>
    <w:rsid w:val="002069DE"/>
    <w:rsid w:val="00216073"/>
    <w:rsid w:val="00225D72"/>
    <w:rsid w:val="00230FB1"/>
    <w:rsid w:val="00255F3A"/>
    <w:rsid w:val="002573AA"/>
    <w:rsid w:val="002747B1"/>
    <w:rsid w:val="00284643"/>
    <w:rsid w:val="002972D6"/>
    <w:rsid w:val="002A50BA"/>
    <w:rsid w:val="002B19C3"/>
    <w:rsid w:val="002C47DB"/>
    <w:rsid w:val="002E3504"/>
    <w:rsid w:val="002F1F9A"/>
    <w:rsid w:val="002F2D99"/>
    <w:rsid w:val="00307602"/>
    <w:rsid w:val="003104F0"/>
    <w:rsid w:val="00315C8F"/>
    <w:rsid w:val="003267C6"/>
    <w:rsid w:val="00343280"/>
    <w:rsid w:val="00390A98"/>
    <w:rsid w:val="0039741D"/>
    <w:rsid w:val="003C18AC"/>
    <w:rsid w:val="00401BDB"/>
    <w:rsid w:val="004211DC"/>
    <w:rsid w:val="00433DB3"/>
    <w:rsid w:val="00434252"/>
    <w:rsid w:val="004458F6"/>
    <w:rsid w:val="00457B68"/>
    <w:rsid w:val="00462FBE"/>
    <w:rsid w:val="00464F11"/>
    <w:rsid w:val="0047186C"/>
    <w:rsid w:val="00480B7A"/>
    <w:rsid w:val="004827F0"/>
    <w:rsid w:val="004B2BA9"/>
    <w:rsid w:val="004C2245"/>
    <w:rsid w:val="004C2C7A"/>
    <w:rsid w:val="004E4589"/>
    <w:rsid w:val="004E576D"/>
    <w:rsid w:val="004F51CD"/>
    <w:rsid w:val="005029F5"/>
    <w:rsid w:val="00504F39"/>
    <w:rsid w:val="005261DB"/>
    <w:rsid w:val="0054543B"/>
    <w:rsid w:val="00545FAC"/>
    <w:rsid w:val="00547386"/>
    <w:rsid w:val="00553D14"/>
    <w:rsid w:val="00565E1D"/>
    <w:rsid w:val="00587310"/>
    <w:rsid w:val="00587E90"/>
    <w:rsid w:val="00590C8C"/>
    <w:rsid w:val="005B3040"/>
    <w:rsid w:val="005B5AC2"/>
    <w:rsid w:val="005C27D2"/>
    <w:rsid w:val="005C39CA"/>
    <w:rsid w:val="005D2B0B"/>
    <w:rsid w:val="005D401C"/>
    <w:rsid w:val="005D690E"/>
    <w:rsid w:val="005F17F5"/>
    <w:rsid w:val="005F5801"/>
    <w:rsid w:val="0060580D"/>
    <w:rsid w:val="0060799A"/>
    <w:rsid w:val="00613655"/>
    <w:rsid w:val="00623A05"/>
    <w:rsid w:val="00640C31"/>
    <w:rsid w:val="006426CE"/>
    <w:rsid w:val="00653548"/>
    <w:rsid w:val="00673E18"/>
    <w:rsid w:val="00674F2A"/>
    <w:rsid w:val="00685EB8"/>
    <w:rsid w:val="00687125"/>
    <w:rsid w:val="006935F1"/>
    <w:rsid w:val="006941A4"/>
    <w:rsid w:val="006A199B"/>
    <w:rsid w:val="006A21DB"/>
    <w:rsid w:val="006A378A"/>
    <w:rsid w:val="006B395F"/>
    <w:rsid w:val="006D579C"/>
    <w:rsid w:val="006F4BAC"/>
    <w:rsid w:val="007209DE"/>
    <w:rsid w:val="00720FC6"/>
    <w:rsid w:val="00723C95"/>
    <w:rsid w:val="00726250"/>
    <w:rsid w:val="007573FD"/>
    <w:rsid w:val="007577E6"/>
    <w:rsid w:val="0076026B"/>
    <w:rsid w:val="00760B2C"/>
    <w:rsid w:val="00763450"/>
    <w:rsid w:val="007659A9"/>
    <w:rsid w:val="00771912"/>
    <w:rsid w:val="00772DB6"/>
    <w:rsid w:val="00775C67"/>
    <w:rsid w:val="00784FE1"/>
    <w:rsid w:val="007B6A24"/>
    <w:rsid w:val="007D1F65"/>
    <w:rsid w:val="007D225C"/>
    <w:rsid w:val="007E76E6"/>
    <w:rsid w:val="007E7D8C"/>
    <w:rsid w:val="007F5D38"/>
    <w:rsid w:val="00813A5D"/>
    <w:rsid w:val="00824C8A"/>
    <w:rsid w:val="00836D22"/>
    <w:rsid w:val="00887FF7"/>
    <w:rsid w:val="008A6EA3"/>
    <w:rsid w:val="008A76A0"/>
    <w:rsid w:val="008C1A15"/>
    <w:rsid w:val="008C2F75"/>
    <w:rsid w:val="008C425D"/>
    <w:rsid w:val="008E1AA1"/>
    <w:rsid w:val="008E6C77"/>
    <w:rsid w:val="008F3A7B"/>
    <w:rsid w:val="008F57B0"/>
    <w:rsid w:val="00902F79"/>
    <w:rsid w:val="00960936"/>
    <w:rsid w:val="009B1970"/>
    <w:rsid w:val="009B4322"/>
    <w:rsid w:val="009B4B98"/>
    <w:rsid w:val="009B51BE"/>
    <w:rsid w:val="009D076E"/>
    <w:rsid w:val="009D673E"/>
    <w:rsid w:val="009E13E3"/>
    <w:rsid w:val="00A078A5"/>
    <w:rsid w:val="00A23FA1"/>
    <w:rsid w:val="00A268B0"/>
    <w:rsid w:val="00A43B51"/>
    <w:rsid w:val="00A46CBC"/>
    <w:rsid w:val="00A603A4"/>
    <w:rsid w:val="00AA07C9"/>
    <w:rsid w:val="00AA2D82"/>
    <w:rsid w:val="00AA4549"/>
    <w:rsid w:val="00AB1081"/>
    <w:rsid w:val="00AB1436"/>
    <w:rsid w:val="00AE7DD0"/>
    <w:rsid w:val="00B0425B"/>
    <w:rsid w:val="00B10C55"/>
    <w:rsid w:val="00B124BA"/>
    <w:rsid w:val="00B2567D"/>
    <w:rsid w:val="00B53D78"/>
    <w:rsid w:val="00B724D5"/>
    <w:rsid w:val="00B7359E"/>
    <w:rsid w:val="00B82179"/>
    <w:rsid w:val="00B85BD2"/>
    <w:rsid w:val="00B96A9E"/>
    <w:rsid w:val="00BB04A0"/>
    <w:rsid w:val="00BB0731"/>
    <w:rsid w:val="00BB79A9"/>
    <w:rsid w:val="00C13763"/>
    <w:rsid w:val="00C34324"/>
    <w:rsid w:val="00C3722C"/>
    <w:rsid w:val="00C507CB"/>
    <w:rsid w:val="00C56E3E"/>
    <w:rsid w:val="00C571AB"/>
    <w:rsid w:val="00C62EFA"/>
    <w:rsid w:val="00C90798"/>
    <w:rsid w:val="00CB13BD"/>
    <w:rsid w:val="00CB25EF"/>
    <w:rsid w:val="00CC12E1"/>
    <w:rsid w:val="00CE1054"/>
    <w:rsid w:val="00D333DC"/>
    <w:rsid w:val="00D33CB0"/>
    <w:rsid w:val="00D34585"/>
    <w:rsid w:val="00D819F7"/>
    <w:rsid w:val="00D97289"/>
    <w:rsid w:val="00DA2376"/>
    <w:rsid w:val="00DA2E07"/>
    <w:rsid w:val="00DB57DC"/>
    <w:rsid w:val="00DB68C1"/>
    <w:rsid w:val="00DC1D7E"/>
    <w:rsid w:val="00DC3377"/>
    <w:rsid w:val="00DE459B"/>
    <w:rsid w:val="00DF2AF2"/>
    <w:rsid w:val="00E03062"/>
    <w:rsid w:val="00E161DB"/>
    <w:rsid w:val="00E206E0"/>
    <w:rsid w:val="00E322FA"/>
    <w:rsid w:val="00E439FD"/>
    <w:rsid w:val="00E564B9"/>
    <w:rsid w:val="00E60067"/>
    <w:rsid w:val="00E85CAE"/>
    <w:rsid w:val="00E861DD"/>
    <w:rsid w:val="00E96206"/>
    <w:rsid w:val="00EA3044"/>
    <w:rsid w:val="00EB6418"/>
    <w:rsid w:val="00EC0AFB"/>
    <w:rsid w:val="00ED34FD"/>
    <w:rsid w:val="00ED37A9"/>
    <w:rsid w:val="00EE39FD"/>
    <w:rsid w:val="00EF1714"/>
    <w:rsid w:val="00EF40D6"/>
    <w:rsid w:val="00F01495"/>
    <w:rsid w:val="00F02202"/>
    <w:rsid w:val="00F10ADB"/>
    <w:rsid w:val="00F47592"/>
    <w:rsid w:val="00F668B9"/>
    <w:rsid w:val="00F91DCD"/>
    <w:rsid w:val="00F97B3F"/>
    <w:rsid w:val="00FB0D0F"/>
    <w:rsid w:val="00FB5425"/>
    <w:rsid w:val="00FC716C"/>
    <w:rsid w:val="00FD7810"/>
    <w:rsid w:val="00FE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E432"/>
  <w15:chartTrackingRefBased/>
  <w15:docId w15:val="{5585BE35-58EF-4AEF-8E2F-ADF2FF4B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4589"/>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68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8B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8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1DB"/>
    <w:pPr>
      <w:ind w:left="720"/>
      <w:contextualSpacing/>
    </w:pPr>
  </w:style>
  <w:style w:type="character" w:customStyle="1" w:styleId="Heading1Char">
    <w:name w:val="Heading 1 Char"/>
    <w:basedOn w:val="DefaultParagraphFont"/>
    <w:link w:val="Heading1"/>
    <w:uiPriority w:val="9"/>
    <w:rsid w:val="004E4589"/>
    <w:rPr>
      <w:rFonts w:asciiTheme="majorHAnsi" w:eastAsiaTheme="majorEastAsia" w:hAnsiTheme="majorHAnsi" w:cstheme="majorBidi"/>
      <w:color w:val="B3186D" w:themeColor="accent1" w:themeShade="BF"/>
      <w:sz w:val="32"/>
      <w:szCs w:val="32"/>
    </w:rPr>
  </w:style>
  <w:style w:type="paragraph" w:styleId="Header">
    <w:name w:val="header"/>
    <w:basedOn w:val="Normal"/>
    <w:link w:val="HeaderChar"/>
    <w:uiPriority w:val="99"/>
    <w:unhideWhenUsed/>
    <w:rsid w:val="00D97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89"/>
  </w:style>
  <w:style w:type="paragraph" w:styleId="Footer">
    <w:name w:val="footer"/>
    <w:basedOn w:val="Normal"/>
    <w:link w:val="FooterChar"/>
    <w:uiPriority w:val="99"/>
    <w:unhideWhenUsed/>
    <w:rsid w:val="00D97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89"/>
  </w:style>
  <w:style w:type="table" w:styleId="ListTable6Colorful-Accent3">
    <w:name w:val="List Table 6 Colorful Accent 3"/>
    <w:basedOn w:val="TableNormal"/>
    <w:uiPriority w:val="51"/>
    <w:rsid w:val="00D97289"/>
    <w:pPr>
      <w:spacing w:after="0" w:line="240" w:lineRule="auto"/>
    </w:pPr>
    <w:rPr>
      <w:color w:val="2581BA" w:themeColor="accent3" w:themeShade="BF"/>
    </w:rPr>
    <w:tblPr>
      <w:tblStyleRowBandSize w:val="1"/>
      <w:tblStyleColBandSize w:val="1"/>
      <w:tblBorders>
        <w:top w:val="single" w:sz="4" w:space="0" w:color="4EA6DC" w:themeColor="accent3"/>
        <w:bottom w:val="single" w:sz="4" w:space="0" w:color="4EA6DC" w:themeColor="accent3"/>
      </w:tblBorders>
    </w:tblPr>
    <w:tblStylePr w:type="firstRow">
      <w:rPr>
        <w:b/>
        <w:bCs/>
      </w:rPr>
      <w:tblPr/>
      <w:tcPr>
        <w:tcBorders>
          <w:bottom w:val="single" w:sz="4" w:space="0" w:color="4EA6DC" w:themeColor="accent3"/>
        </w:tcBorders>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GridTable6Colorful-Accent3">
    <w:name w:val="Grid Table 6 Colorful Accent 3"/>
    <w:basedOn w:val="TableNormal"/>
    <w:uiPriority w:val="51"/>
    <w:rsid w:val="00D97289"/>
    <w:pPr>
      <w:spacing w:after="0" w:line="240" w:lineRule="auto"/>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4" w:space="0" w:color="94C9EA" w:themeColor="accent3" w:themeTint="99"/>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character" w:styleId="CommentReference">
    <w:name w:val="annotation reference"/>
    <w:basedOn w:val="DefaultParagraphFont"/>
    <w:uiPriority w:val="99"/>
    <w:semiHidden/>
    <w:unhideWhenUsed/>
    <w:rsid w:val="00B724D5"/>
    <w:rPr>
      <w:sz w:val="16"/>
      <w:szCs w:val="16"/>
    </w:rPr>
  </w:style>
  <w:style w:type="paragraph" w:styleId="CommentText">
    <w:name w:val="annotation text"/>
    <w:basedOn w:val="Normal"/>
    <w:link w:val="CommentTextChar"/>
    <w:uiPriority w:val="99"/>
    <w:semiHidden/>
    <w:unhideWhenUsed/>
    <w:rsid w:val="00B724D5"/>
    <w:pPr>
      <w:spacing w:line="240" w:lineRule="auto"/>
    </w:pPr>
    <w:rPr>
      <w:sz w:val="20"/>
      <w:szCs w:val="20"/>
    </w:rPr>
  </w:style>
  <w:style w:type="character" w:customStyle="1" w:styleId="CommentTextChar">
    <w:name w:val="Comment Text Char"/>
    <w:basedOn w:val="DefaultParagraphFont"/>
    <w:link w:val="CommentText"/>
    <w:uiPriority w:val="99"/>
    <w:semiHidden/>
    <w:rsid w:val="00B724D5"/>
    <w:rPr>
      <w:sz w:val="20"/>
      <w:szCs w:val="20"/>
    </w:rPr>
  </w:style>
  <w:style w:type="paragraph" w:styleId="CommentSubject">
    <w:name w:val="annotation subject"/>
    <w:basedOn w:val="CommentText"/>
    <w:next w:val="CommentText"/>
    <w:link w:val="CommentSubjectChar"/>
    <w:uiPriority w:val="99"/>
    <w:semiHidden/>
    <w:unhideWhenUsed/>
    <w:rsid w:val="00B724D5"/>
    <w:rPr>
      <w:b/>
      <w:bCs/>
    </w:rPr>
  </w:style>
  <w:style w:type="character" w:customStyle="1" w:styleId="CommentSubjectChar">
    <w:name w:val="Comment Subject Char"/>
    <w:basedOn w:val="CommentTextChar"/>
    <w:link w:val="CommentSubject"/>
    <w:uiPriority w:val="99"/>
    <w:semiHidden/>
    <w:rsid w:val="00B724D5"/>
    <w:rPr>
      <w:b/>
      <w:bCs/>
      <w:sz w:val="20"/>
      <w:szCs w:val="20"/>
    </w:rPr>
  </w:style>
  <w:style w:type="paragraph" w:styleId="BalloonText">
    <w:name w:val="Balloon Text"/>
    <w:basedOn w:val="Normal"/>
    <w:link w:val="BalloonTextChar"/>
    <w:uiPriority w:val="99"/>
    <w:semiHidden/>
    <w:unhideWhenUsed/>
    <w:rsid w:val="00B72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813AD56A8747B42CD659163491F5" ma:contentTypeVersion="4" ma:contentTypeDescription="Create a new document." ma:contentTypeScope="" ma:versionID="e7bb783b1ca88567c48eeb67ff5f2409">
  <xsd:schema xmlns:xsd="http://www.w3.org/2001/XMLSchema" xmlns:xs="http://www.w3.org/2001/XMLSchema" xmlns:p="http://schemas.microsoft.com/office/2006/metadata/properties" xmlns:ns3="47eb5a2e-5173-46c3-9cd8-43072e27c721" targetNamespace="http://schemas.microsoft.com/office/2006/metadata/properties" ma:root="true" ma:fieldsID="cfcb76fc6f0de0bbe3e090eb9238b31d" ns3:_="">
    <xsd:import namespace="47eb5a2e-5173-46c3-9cd8-43072e27c7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5a2e-5173-46c3-9cd8-43072e27c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924EC-AF4C-4917-ACF3-9AA36DCF6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5a2e-5173-46c3-9cd8-43072e27c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C06BD-671D-48BC-9EC3-41743A5387E7}">
  <ds:schemaRefs>
    <ds:schemaRef ds:uri="http://schemas.microsoft.com/sharepoint/v3/contenttype/forms"/>
  </ds:schemaRefs>
</ds:datastoreItem>
</file>

<file path=customXml/itemProps3.xml><?xml version="1.0" encoding="utf-8"?>
<ds:datastoreItem xmlns:ds="http://schemas.openxmlformats.org/officeDocument/2006/customXml" ds:itemID="{F805FBC8-63B9-46A6-869B-CDB9E0AEA8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C1C671-2B21-4B76-B023-9430FB1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Vanuatu Ministry of Health</dc:creator>
  <cp:keywords/>
  <dc:description/>
  <cp:lastModifiedBy>Wesley Donald</cp:lastModifiedBy>
  <cp:revision>2</cp:revision>
  <dcterms:created xsi:type="dcterms:W3CDTF">2020-12-24T01:21:00Z</dcterms:created>
  <dcterms:modified xsi:type="dcterms:W3CDTF">2020-12-24T01:21:00Z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0x0101007555813AD56A8747B42CD659163491F5</vt:lpwstr>
  </property>
</Properties>
</file>